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9"/>
          <w:szCs w:val="19"/>
          <w:b w:val="1"/>
          <w:bCs w:val="1"/>
          <w:color w:val="auto"/>
        </w:rPr>
        <w:t>CONFIDENTIAL TREATMENT REQUESTED</w:t>
      </w:r>
    </w:p>
    <w:p>
      <w:pPr>
        <w:spacing w:after="0" w:line="29"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22237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9"/>
          <w:szCs w:val="19"/>
          <w:color w:val="auto"/>
        </w:rPr>
        <w:t>Jon C. Avina</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+1 650 843 5307</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javina@cooley.com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393305" cy="520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93305" cy="520065"/>
                    </a:xfrm>
                    <a:prstGeom prst="rect">
                      <a:avLst/>
                    </a:prstGeom>
                    <a:noFill/>
                  </pic:spPr>
                </pic:pic>
              </a:graphicData>
            </a:graphic>
          </wp:anchor>
        </w:drawing>
      </w:r>
    </w:p>
    <w:p>
      <w:pPr>
        <w:spacing w:after="0" w:line="284" w:lineRule="exact"/>
        <w:rPr>
          <w:sz w:val="24"/>
          <w:szCs w:val="24"/>
          <w:color w:val="auto"/>
        </w:rPr>
      </w:pPr>
    </w:p>
    <w:p>
      <w:pPr>
        <w:ind w:left="120" w:right="300"/>
        <w:spacing w:after="0" w:line="266" w:lineRule="auto"/>
        <w:rPr>
          <w:sz w:val="20"/>
          <w:szCs w:val="20"/>
          <w:color w:val="auto"/>
        </w:rPr>
      </w:pPr>
      <w:r>
        <w:rPr>
          <w:rFonts w:ascii="Arial" w:cs="Arial" w:eastAsia="Arial" w:hAnsi="Arial"/>
          <w:sz w:val="19"/>
          <w:szCs w:val="19"/>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64" w:lineRule="exact"/>
        <w:rPr>
          <w:sz w:val="24"/>
          <w:szCs w:val="24"/>
          <w:color w:val="auto"/>
        </w:rPr>
      </w:pPr>
    </w:p>
    <w:p>
      <w:pPr>
        <w:spacing w:after="0"/>
        <w:rPr>
          <w:sz w:val="20"/>
          <w:szCs w:val="20"/>
          <w:color w:val="auto"/>
        </w:rPr>
      </w:pPr>
      <w:r>
        <w:rPr>
          <w:rFonts w:ascii="Arial" w:cs="Arial" w:eastAsia="Arial" w:hAnsi="Arial"/>
          <w:sz w:val="19"/>
          <w:szCs w:val="19"/>
          <w:color w:val="auto"/>
        </w:rPr>
        <w:t>April 1,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Division of Corporation Finance</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Office of Information Technologies and Services</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color w:val="auto"/>
        </w:rPr>
        <w:t>Washington, DC 20549</w:t>
      </w:r>
    </w:p>
    <w:p>
      <w:pPr>
        <w:spacing w:after="0" w:line="125" w:lineRule="exact"/>
        <w:rPr>
          <w:sz w:val="24"/>
          <w:szCs w:val="24"/>
          <w:color w:val="auto"/>
        </w:rPr>
      </w:pPr>
    </w:p>
    <w:p>
      <w:pPr>
        <w:spacing w:after="0"/>
        <w:tabs>
          <w:tab w:leader="none" w:pos="600" w:val="left"/>
        </w:tabs>
        <w:rPr>
          <w:sz w:val="20"/>
          <w:szCs w:val="20"/>
          <w:color w:val="auto"/>
        </w:rPr>
      </w:pPr>
      <w:r>
        <w:rPr>
          <w:rFonts w:ascii="Arial" w:cs="Arial" w:eastAsia="Arial" w:hAnsi="Arial"/>
          <w:sz w:val="19"/>
          <w:szCs w:val="19"/>
          <w:color w:val="auto"/>
        </w:rPr>
        <w:t>Attn:</w:t>
        <w:tab/>
        <w:t>Mitchell Austin, Staff Attorney</w:t>
      </w:r>
    </w:p>
    <w:p>
      <w:pPr>
        <w:spacing w:after="0" w:line="23" w:lineRule="exact"/>
        <w:rPr>
          <w:sz w:val="24"/>
          <w:szCs w:val="24"/>
          <w:color w:val="auto"/>
        </w:rPr>
      </w:pPr>
    </w:p>
    <w:p>
      <w:pPr>
        <w:ind w:left="620"/>
        <w:spacing w:after="0"/>
        <w:rPr>
          <w:sz w:val="20"/>
          <w:szCs w:val="20"/>
          <w:color w:val="auto"/>
        </w:rPr>
      </w:pPr>
      <w:r>
        <w:rPr>
          <w:rFonts w:ascii="Arial" w:cs="Arial" w:eastAsia="Arial" w:hAnsi="Arial"/>
          <w:sz w:val="19"/>
          <w:szCs w:val="19"/>
          <w:color w:val="auto"/>
        </w:rPr>
        <w:t>Jan Woo, Legal Branch Chief</w:t>
      </w:r>
    </w:p>
    <w:p>
      <w:pPr>
        <w:spacing w:after="0" w:line="10" w:lineRule="exact"/>
        <w:rPr>
          <w:sz w:val="24"/>
          <w:szCs w:val="24"/>
          <w:color w:val="auto"/>
        </w:rPr>
      </w:pPr>
    </w:p>
    <w:p>
      <w:pPr>
        <w:ind w:left="620"/>
        <w:spacing w:after="0"/>
        <w:rPr>
          <w:sz w:val="20"/>
          <w:szCs w:val="20"/>
          <w:color w:val="auto"/>
        </w:rPr>
      </w:pPr>
      <w:r>
        <w:rPr>
          <w:rFonts w:ascii="Arial" w:cs="Arial" w:eastAsia="Arial" w:hAnsi="Arial"/>
          <w:sz w:val="19"/>
          <w:szCs w:val="19"/>
          <w:color w:val="auto"/>
        </w:rPr>
        <w:t>David Edgar, Staff Accountant</w:t>
      </w:r>
    </w:p>
    <w:p>
      <w:pPr>
        <w:spacing w:after="0" w:line="10" w:lineRule="exact"/>
        <w:rPr>
          <w:sz w:val="24"/>
          <w:szCs w:val="24"/>
          <w:color w:val="auto"/>
        </w:rPr>
      </w:pPr>
    </w:p>
    <w:p>
      <w:pPr>
        <w:ind w:left="620"/>
        <w:spacing w:after="0"/>
        <w:rPr>
          <w:sz w:val="20"/>
          <w:szCs w:val="20"/>
          <w:color w:val="auto"/>
        </w:rPr>
      </w:pPr>
      <w:r>
        <w:rPr>
          <w:rFonts w:ascii="Arial" w:cs="Arial" w:eastAsia="Arial" w:hAnsi="Arial"/>
          <w:sz w:val="19"/>
          <w:szCs w:val="19"/>
          <w:color w:val="auto"/>
        </w:rPr>
        <w:t>Kathleen Collins, Accounting Branch Chief</w:t>
      </w:r>
    </w:p>
    <w:p>
      <w:pPr>
        <w:spacing w:after="0" w:line="24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Re: Zoom Video Communications, Inc.</w:t>
      </w:r>
    </w:p>
    <w:p>
      <w:pPr>
        <w:spacing w:after="0" w:line="29" w:lineRule="exact"/>
        <w:rPr>
          <w:sz w:val="24"/>
          <w:szCs w:val="24"/>
          <w:color w:val="auto"/>
        </w:rPr>
      </w:pPr>
    </w:p>
    <w:p>
      <w:pPr>
        <w:ind w:left="380"/>
        <w:spacing w:after="0"/>
        <w:rPr>
          <w:sz w:val="20"/>
          <w:szCs w:val="20"/>
          <w:color w:val="auto"/>
        </w:rPr>
      </w:pPr>
      <w:r>
        <w:rPr>
          <w:rFonts w:ascii="Arial" w:cs="Arial" w:eastAsia="Arial" w:hAnsi="Arial"/>
          <w:sz w:val="19"/>
          <w:szCs w:val="19"/>
          <w:b w:val="1"/>
          <w:bCs w:val="1"/>
          <w:color w:val="auto"/>
        </w:rPr>
        <w:t>Registration Statement on Form S-1</w:t>
      </w:r>
    </w:p>
    <w:p>
      <w:pPr>
        <w:spacing w:after="0" w:line="10" w:lineRule="exact"/>
        <w:rPr>
          <w:sz w:val="24"/>
          <w:szCs w:val="24"/>
          <w:color w:val="auto"/>
        </w:rPr>
      </w:pPr>
    </w:p>
    <w:p>
      <w:pPr>
        <w:ind w:left="380"/>
        <w:spacing w:after="0"/>
        <w:rPr>
          <w:sz w:val="20"/>
          <w:szCs w:val="20"/>
          <w:color w:val="auto"/>
        </w:rPr>
      </w:pPr>
      <w:r>
        <w:rPr>
          <w:rFonts w:ascii="Arial" w:cs="Arial" w:eastAsia="Arial" w:hAnsi="Arial"/>
          <w:sz w:val="19"/>
          <w:szCs w:val="19"/>
          <w:b w:val="1"/>
          <w:bCs w:val="1"/>
          <w:color w:val="auto"/>
        </w:rPr>
        <w:t>Submitted March 22, 2019</w:t>
      </w:r>
    </w:p>
    <w:p>
      <w:pPr>
        <w:spacing w:after="0" w:line="10" w:lineRule="exact"/>
        <w:rPr>
          <w:sz w:val="24"/>
          <w:szCs w:val="24"/>
          <w:color w:val="auto"/>
        </w:rPr>
      </w:pPr>
    </w:p>
    <w:p>
      <w:pPr>
        <w:ind w:left="380"/>
        <w:spacing w:after="0"/>
        <w:rPr>
          <w:sz w:val="20"/>
          <w:szCs w:val="20"/>
          <w:color w:val="auto"/>
        </w:rPr>
      </w:pPr>
      <w:r>
        <w:rPr>
          <w:rFonts w:ascii="Arial" w:cs="Arial" w:eastAsia="Arial" w:hAnsi="Arial"/>
          <w:sz w:val="19"/>
          <w:szCs w:val="19"/>
          <w:b w:val="1"/>
          <w:bCs w:val="1"/>
          <w:color w:val="auto"/>
        </w:rPr>
        <w:t>File No. 333-230444</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24" w:lineRule="exact"/>
        <w:rPr>
          <w:sz w:val="24"/>
          <w:szCs w:val="24"/>
          <w:color w:val="auto"/>
        </w:rPr>
      </w:pPr>
    </w:p>
    <w:p>
      <w:pPr>
        <w:ind w:right="80" w:firstLine="465"/>
        <w:spacing w:after="0" w:line="284" w:lineRule="auto"/>
        <w:rPr>
          <w:sz w:val="20"/>
          <w:szCs w:val="20"/>
          <w:color w:val="auto"/>
        </w:rPr>
      </w:pPr>
      <w:r>
        <w:rPr>
          <w:rFonts w:ascii="Arial" w:cs="Arial" w:eastAsia="Arial" w:hAnsi="Arial"/>
          <w:sz w:val="18"/>
          <w:szCs w:val="18"/>
          <w:color w:val="auto"/>
        </w:rPr>
        <w:t>On behalf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providing this letter in response to comments (the “</w:t>
      </w:r>
      <w:r>
        <w:rPr>
          <w:rFonts w:ascii="Arial" w:cs="Arial" w:eastAsia="Arial" w:hAnsi="Arial"/>
          <w:sz w:val="18"/>
          <w:szCs w:val="18"/>
          <w:b w:val="1"/>
          <w:bCs w:val="1"/>
          <w:i w:val="1"/>
          <w:iCs w:val="1"/>
          <w:color w:val="auto"/>
        </w:rPr>
        <w:t>Comments</w:t>
      </w:r>
      <w:r>
        <w:rPr>
          <w:rFonts w:ascii="Arial" w:cs="Arial" w:eastAsia="Arial" w:hAnsi="Arial"/>
          <w:sz w:val="18"/>
          <w:szCs w:val="18"/>
          <w:color w:val="auto"/>
        </w:rPr>
        <w:t>”) received from the staff of the U.S. Securities and Exchange Commission’s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by letter dated March 26, 2019 with respect to the Company’s Registration Statement on Form S-1, filed on March 22, 2019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78" w:lineRule="exact"/>
        <w:rPr>
          <w:sz w:val="24"/>
          <w:szCs w:val="24"/>
          <w:color w:val="auto"/>
        </w:rPr>
      </w:pPr>
    </w:p>
    <w:p>
      <w:pPr>
        <w:ind w:right="460" w:firstLine="465"/>
        <w:spacing w:after="0" w:line="263" w:lineRule="auto"/>
        <w:rPr>
          <w:sz w:val="20"/>
          <w:szCs w:val="20"/>
          <w:color w:val="auto"/>
        </w:rPr>
      </w:pPr>
      <w:r>
        <w:rPr>
          <w:rFonts w:ascii="Arial" w:cs="Arial" w:eastAsia="Arial" w:hAnsi="Arial"/>
          <w:sz w:val="19"/>
          <w:szCs w:val="19"/>
          <w:color w:val="auto"/>
        </w:rPr>
        <w:t>Set forth below are the Company’s responses to the Comments. The numbering of the paragraphs below corresponds to the numbering of the Comments, which for your convenience we have incorporated into this response letter. Page references in the text of the Company’s responses correspond to the page numbers of the Registration Statement.</w:t>
      </w:r>
    </w:p>
    <w:p>
      <w:pPr>
        <w:spacing w:after="0" w:line="30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Confidential Treatment Request</w:t>
      </w:r>
    </w:p>
    <w:p>
      <w:pPr>
        <w:spacing w:after="0" w:line="130" w:lineRule="exact"/>
        <w:rPr>
          <w:sz w:val="24"/>
          <w:szCs w:val="24"/>
          <w:color w:val="auto"/>
        </w:rPr>
      </w:pPr>
    </w:p>
    <w:p>
      <w:pPr>
        <w:ind w:right="60" w:firstLine="465"/>
        <w:spacing w:after="0" w:line="277" w:lineRule="auto"/>
        <w:rPr>
          <w:sz w:val="20"/>
          <w:szCs w:val="20"/>
          <w:color w:val="auto"/>
        </w:rPr>
      </w:pPr>
      <w:r>
        <w:rPr>
          <w:rFonts w:ascii="Arial" w:cs="Arial" w:eastAsia="Arial" w:hAnsi="Arial"/>
          <w:sz w:val="18"/>
          <w:szCs w:val="18"/>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sent to the Commission a separate copy of this letter, marked to show the portions redacted from the version confidentially submitted via EDGAR and for which the Company is requesting confidential treatment. In accordance with 17 C.F.R. §200.83(d)(1), if any</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p>
      <w:pPr>
        <w:sectPr>
          <w:pgSz w:w="12240" w:h="15840" w:orient="portrait"/>
          <w:cols w:equalWidth="0" w:num="1">
            <w:col w:w="11640"/>
          </w:cols>
          <w:pgMar w:left="300" w:top="93" w:right="300" w:bottom="1440" w:gutter="0" w:footer="0" w:header="0"/>
        </w:sectPr>
      </w:pPr>
    </w:p>
    <w:bookmarkStart w:id="1" w:name="page2"/>
    <w:bookmarkEnd w:id="1"/>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22375" cy="398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82" w:lineRule="exact"/>
        <w:rPr>
          <w:sz w:val="20"/>
          <w:szCs w:val="20"/>
          <w:color w:val="auto"/>
        </w:rPr>
      </w:pPr>
    </w:p>
    <w:p>
      <w:pPr>
        <w:ind w:left="1"/>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April 1, 2019</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Page 2</w:t>
      </w:r>
    </w:p>
    <w:p>
      <w:pPr>
        <w:spacing w:after="0" w:line="153" w:lineRule="exact"/>
        <w:rPr>
          <w:sz w:val="20"/>
          <w:szCs w:val="20"/>
          <w:color w:val="auto"/>
        </w:rPr>
      </w:pPr>
    </w:p>
    <w:p>
      <w:pPr>
        <w:ind w:left="1" w:right="40"/>
        <w:spacing w:after="0" w:line="256" w:lineRule="auto"/>
        <w:rPr>
          <w:sz w:val="20"/>
          <w:szCs w:val="20"/>
          <w:color w:val="auto"/>
        </w:rPr>
      </w:pPr>
      <w:r>
        <w:rPr>
          <w:rFonts w:ascii="Arial" w:cs="Arial" w:eastAsia="Arial" w:hAnsi="Arial"/>
          <w:sz w:val="19"/>
          <w:szCs w:val="19"/>
          <w:color w:val="auto"/>
        </w:rPr>
        <w:t>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10 business days’ advance notice of any intended release so that the Company may, if it deems it to be necessary or appropriate, pursue any remedies available to it. In such event, we request that you telephone the undersigned at (650) 843-5307 rather than rely on the U.S. mail for such notice.</w:t>
      </w:r>
    </w:p>
    <w:p>
      <w:pPr>
        <w:spacing w:after="0" w:line="204"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Registration Statement on Form S-1 filed March 22, 2019</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Management’s Discussion and Analysis of Financial Condition and Results of Operations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Our Business Model, page 55</w:t>
      </w:r>
    </w:p>
    <w:p>
      <w:pPr>
        <w:spacing w:after="0" w:line="138" w:lineRule="exact"/>
        <w:rPr>
          <w:sz w:val="20"/>
          <w:szCs w:val="20"/>
          <w:color w:val="auto"/>
        </w:rPr>
      </w:pPr>
    </w:p>
    <w:p>
      <w:pPr>
        <w:ind w:left="461" w:right="80" w:hanging="461"/>
        <w:spacing w:after="0" w:line="275" w:lineRule="auto"/>
        <w:tabs>
          <w:tab w:leader="none" w:pos="461"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Please disclose the attrition rate for your monthly subscribers for each period presented as indicated in your response to prior comment 1 in your letter dated March 19, 2019.</w:t>
      </w:r>
    </w:p>
    <w:p>
      <w:pPr>
        <w:spacing w:after="0" w:line="70" w:lineRule="exact"/>
        <w:rPr>
          <w:sz w:val="20"/>
          <w:szCs w:val="20"/>
          <w:color w:val="auto"/>
        </w:rPr>
      </w:pPr>
    </w:p>
    <w:p>
      <w:pPr>
        <w:ind w:left="461" w:right="100" w:firstLine="447"/>
        <w:spacing w:after="0" w:line="275" w:lineRule="auto"/>
        <w:rPr>
          <w:sz w:val="20"/>
          <w:szCs w:val="20"/>
          <w:color w:val="auto"/>
        </w:rPr>
      </w:pPr>
      <w:r>
        <w:rPr>
          <w:rFonts w:ascii="Arial" w:cs="Arial" w:eastAsia="Arial" w:hAnsi="Arial"/>
          <w:sz w:val="19"/>
          <w:szCs w:val="19"/>
          <w:color w:val="auto"/>
        </w:rPr>
        <w:t>In response to the Staff’s comment, the Company will disclose in its next amendment to the Registration Statement that the attrition rate for its monthly subscribers was less than 4% per month in the fiscal years ended January 31, 2018 and 2019.</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Consolidated Financial Statements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9"/>
          <w:szCs w:val="19"/>
          <w:u w:val="single" w:color="auto"/>
          <w:color w:val="auto"/>
        </w:rPr>
        <w:t>Note 11. Subsequent Events, page F-36</w:t>
      </w:r>
    </w:p>
    <w:p>
      <w:pPr>
        <w:spacing w:after="0" w:line="138" w:lineRule="exact"/>
        <w:rPr>
          <w:sz w:val="20"/>
          <w:szCs w:val="20"/>
          <w:color w:val="auto"/>
        </w:rPr>
      </w:pPr>
    </w:p>
    <w:p>
      <w:pPr>
        <w:ind w:left="461" w:right="160" w:hanging="461"/>
        <w:spacing w:after="0" w:line="275" w:lineRule="auto"/>
        <w:tabs>
          <w:tab w:leader="none" w:pos="461"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Please revise to disclose financial effects, including the related compensation expense and vesting terms, of the stock options granted subsequent to January 31, 2019, if material. Refer to ASC 855-10-50-2(b).</w:t>
      </w:r>
    </w:p>
    <w:p>
      <w:pPr>
        <w:spacing w:after="0" w:line="70" w:lineRule="exact"/>
        <w:rPr>
          <w:sz w:val="20"/>
          <w:szCs w:val="20"/>
          <w:color w:val="auto"/>
        </w:rPr>
      </w:pPr>
    </w:p>
    <w:p>
      <w:pPr>
        <w:ind w:left="461" w:right="40" w:firstLine="447"/>
        <w:spacing w:after="0" w:line="259" w:lineRule="auto"/>
        <w:rPr>
          <w:sz w:val="20"/>
          <w:szCs w:val="20"/>
          <w:color w:val="auto"/>
        </w:rPr>
      </w:pPr>
      <w:r>
        <w:rPr>
          <w:rFonts w:ascii="Arial" w:cs="Arial" w:eastAsia="Arial" w:hAnsi="Arial"/>
          <w:sz w:val="19"/>
          <w:szCs w:val="19"/>
          <w:color w:val="auto"/>
        </w:rPr>
        <w:t>In response to the Staff’s comment, the Company will disclose in its next amendment to the Registration Statement the number of stock options granted subsequent to January 31, 2019 and the related vesting period for such stock options, which is generally 48 months. The Company will include in such disclosure that it expects to recognize a material amount of stock-based compensation expense over the requisite service period of such stock options.</w:t>
      </w:r>
    </w:p>
    <w:p>
      <w:pPr>
        <w:spacing w:after="0" w:line="84" w:lineRule="exact"/>
        <w:rPr>
          <w:sz w:val="20"/>
          <w:szCs w:val="20"/>
          <w:color w:val="auto"/>
        </w:rPr>
      </w:pPr>
    </w:p>
    <w:p>
      <w:pPr>
        <w:ind w:left="461" w:right="100" w:firstLine="447"/>
        <w:spacing w:after="0" w:line="291" w:lineRule="auto"/>
        <w:rPr>
          <w:sz w:val="20"/>
          <w:szCs w:val="20"/>
          <w:color w:val="auto"/>
        </w:rPr>
      </w:pPr>
      <w:r>
        <w:rPr>
          <w:rFonts w:ascii="Arial" w:cs="Arial" w:eastAsia="Arial" w:hAnsi="Arial"/>
          <w:sz w:val="17"/>
          <w:szCs w:val="17"/>
          <w:color w:val="auto"/>
        </w:rPr>
        <w:t>The Company supplementally advises the Staff that it expects to grant additional stock options to purchase shares of Class B common stock prior to the Company’s initial public offering (“</w:t>
      </w:r>
      <w:r>
        <w:rPr>
          <w:rFonts w:ascii="Arial" w:cs="Arial" w:eastAsia="Arial" w:hAnsi="Arial"/>
          <w:sz w:val="17"/>
          <w:szCs w:val="17"/>
          <w:b w:val="1"/>
          <w:bCs w:val="1"/>
          <w:i w:val="1"/>
          <w:iCs w:val="1"/>
          <w:color w:val="auto"/>
        </w:rPr>
        <w:t>IPO</w:t>
      </w:r>
      <w:r>
        <w:rPr>
          <w:rFonts w:ascii="Arial" w:cs="Arial" w:eastAsia="Arial" w:hAnsi="Arial"/>
          <w:sz w:val="17"/>
          <w:szCs w:val="17"/>
          <w:color w:val="auto"/>
        </w:rPr>
        <w:t>”) with an exercise price per share equal to the midpoint of the preliminary price range that will be set forth on the cover of the preliminary prospectus and will continue to update the subsequent events disclosure for grants made subsequent to January 31, 2019. The actual amount of the stock-based compensation expense for these options will not be determined until the Company prepares its financial results for the first quarter of fiscal 2020 following the expected date of the IPO as such amount will be based, in part, on its assessment of the fair value of the Company’s Class B common stock as informed by the offering price for the IPO.</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p>
      <w:pPr>
        <w:sectPr>
          <w:pgSz w:w="12240" w:h="15840" w:orient="portrait"/>
          <w:cols w:equalWidth="0" w:num="1">
            <w:col w:w="11641"/>
          </w:cols>
          <w:pgMar w:left="299" w:top="136" w:right="300"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22375" cy="398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82" w:lineRule="exact"/>
        <w:rPr>
          <w:sz w:val="20"/>
          <w:szCs w:val="20"/>
          <w:color w:val="auto"/>
        </w:rPr>
      </w:pPr>
    </w:p>
    <w:p>
      <w:pPr>
        <w:ind w:left="1"/>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April 1, 2019</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Page 3</w:t>
      </w:r>
    </w:p>
    <w:p>
      <w:pPr>
        <w:spacing w:after="0" w:line="153" w:lineRule="exact"/>
        <w:rPr>
          <w:sz w:val="20"/>
          <w:szCs w:val="20"/>
          <w:color w:val="auto"/>
        </w:rPr>
      </w:pPr>
    </w:p>
    <w:p>
      <w:pPr>
        <w:ind w:left="461" w:hanging="461"/>
        <w:spacing w:after="0"/>
        <w:tabs>
          <w:tab w:leader="none" w:pos="461"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Please address the following as it relates to the information provided in your letter dated March 25, 2019:</w:t>
      </w:r>
    </w:p>
    <w:p>
      <w:pPr>
        <w:spacing w:after="0" w:line="138" w:lineRule="exact"/>
        <w:rPr>
          <w:rFonts w:ascii="Arial" w:cs="Arial" w:eastAsia="Arial" w:hAnsi="Arial"/>
          <w:sz w:val="19"/>
          <w:szCs w:val="19"/>
          <w:color w:val="auto"/>
        </w:rPr>
      </w:pPr>
    </w:p>
    <w:p>
      <w:pPr>
        <w:ind w:left="1501" w:right="860" w:hanging="459"/>
        <w:spacing w:after="0" w:line="275" w:lineRule="auto"/>
        <w:tabs>
          <w:tab w:leader="none" w:pos="1501" w:val="left"/>
        </w:tabs>
        <w:numPr>
          <w:ilvl w:val="1"/>
          <w:numId w:val="3"/>
        </w:numPr>
        <w:rPr>
          <w:rFonts w:ascii="Arial" w:cs="Arial" w:eastAsia="Arial" w:hAnsi="Arial"/>
          <w:sz w:val="19"/>
          <w:szCs w:val="19"/>
          <w:color w:val="auto"/>
        </w:rPr>
      </w:pPr>
      <w:r>
        <w:rPr>
          <w:rFonts w:ascii="Arial" w:cs="Arial" w:eastAsia="Arial" w:hAnsi="Arial"/>
          <w:sz w:val="19"/>
          <w:szCs w:val="19"/>
          <w:color w:val="auto"/>
        </w:rPr>
        <w:t>Describe for us how the group of comparable companies used in your October 2018 valuation changed from those used in determining the IPO price range;</w:t>
      </w:r>
    </w:p>
    <w:p>
      <w:pPr>
        <w:spacing w:after="0" w:line="84" w:lineRule="exact"/>
        <w:rPr>
          <w:rFonts w:ascii="Arial" w:cs="Arial" w:eastAsia="Arial" w:hAnsi="Arial"/>
          <w:sz w:val="19"/>
          <w:szCs w:val="19"/>
          <w:color w:val="auto"/>
        </w:rPr>
      </w:pPr>
    </w:p>
    <w:p>
      <w:pPr>
        <w:ind w:left="1501" w:right="40" w:hanging="459"/>
        <w:spacing w:after="0" w:line="275" w:lineRule="auto"/>
        <w:tabs>
          <w:tab w:leader="none" w:pos="1501" w:val="left"/>
        </w:tabs>
        <w:numPr>
          <w:ilvl w:val="1"/>
          <w:numId w:val="3"/>
        </w:numPr>
        <w:rPr>
          <w:rFonts w:ascii="Arial" w:cs="Arial" w:eastAsia="Arial" w:hAnsi="Arial"/>
          <w:sz w:val="19"/>
          <w:szCs w:val="19"/>
          <w:color w:val="auto"/>
        </w:rPr>
      </w:pPr>
      <w:r>
        <w:rPr>
          <w:rFonts w:ascii="Arial" w:cs="Arial" w:eastAsia="Arial" w:hAnsi="Arial"/>
          <w:sz w:val="19"/>
          <w:szCs w:val="19"/>
          <w:color w:val="auto"/>
        </w:rPr>
        <w:t>Explain further, in quantified terms, the significant expansion in valuation multiples experienced by such comparable companies and the impact on your estimated price range; and</w:t>
      </w:r>
    </w:p>
    <w:p>
      <w:pPr>
        <w:spacing w:after="0" w:line="84" w:lineRule="exact"/>
        <w:rPr>
          <w:rFonts w:ascii="Arial" w:cs="Arial" w:eastAsia="Arial" w:hAnsi="Arial"/>
          <w:sz w:val="19"/>
          <w:szCs w:val="19"/>
          <w:color w:val="auto"/>
        </w:rPr>
      </w:pPr>
    </w:p>
    <w:p>
      <w:pPr>
        <w:ind w:left="1501" w:right="100" w:hanging="459"/>
        <w:spacing w:after="0" w:line="275" w:lineRule="auto"/>
        <w:tabs>
          <w:tab w:leader="none" w:pos="1501" w:val="left"/>
        </w:tabs>
        <w:numPr>
          <w:ilvl w:val="1"/>
          <w:numId w:val="3"/>
        </w:numPr>
        <w:rPr>
          <w:rFonts w:ascii="Arial" w:cs="Arial" w:eastAsia="Arial" w:hAnsi="Arial"/>
          <w:sz w:val="19"/>
          <w:szCs w:val="19"/>
          <w:color w:val="auto"/>
        </w:rPr>
      </w:pPr>
      <w:r>
        <w:rPr>
          <w:rFonts w:ascii="Arial" w:cs="Arial" w:eastAsia="Arial" w:hAnsi="Arial"/>
          <w:sz w:val="19"/>
          <w:szCs w:val="19"/>
          <w:color w:val="auto"/>
        </w:rPr>
        <w:t>Provide us with the probability weighting for a successful IPO and the discount for lack of marketability that was used in December 2018 and January 2019 valuations.</w:t>
      </w:r>
    </w:p>
    <w:p>
      <w:pPr>
        <w:spacing w:after="0" w:line="70" w:lineRule="exact"/>
        <w:rPr>
          <w:sz w:val="20"/>
          <w:szCs w:val="20"/>
          <w:color w:val="auto"/>
        </w:rPr>
      </w:pPr>
    </w:p>
    <w:p>
      <w:pPr>
        <w:ind w:left="461" w:right="20" w:firstLine="447"/>
        <w:spacing w:after="0" w:line="294" w:lineRule="auto"/>
        <w:rPr>
          <w:sz w:val="20"/>
          <w:szCs w:val="20"/>
          <w:color w:val="auto"/>
        </w:rPr>
      </w:pPr>
      <w:r>
        <w:rPr>
          <w:rFonts w:ascii="Arial" w:cs="Arial" w:eastAsia="Arial" w:hAnsi="Arial"/>
          <w:sz w:val="17"/>
          <w:szCs w:val="17"/>
          <w:color w:val="auto"/>
        </w:rPr>
        <w:t>The Company supplementally advises the Staff that the group of comparable companies used in the October 2018 valuation, December 2018 valuation and January 2019 valuation, were Atlassian, Twilio, DocuSign, Okta, Elastic, Dropbox, RingCentral, LogMeIn, Alteryx, Five9, Box, Avaya, 8x8, LivePerson and Mitel Networks. As disclosed in our letter to the Staff dated March 19, 2019, the Company expanded the number of comparable companies used in the October 2018 valuation to include companies that were not necessarily related to the Company’s business but that had been identified by the underwriters in their initial meetings with management in October 2018 as comparable companies for the IPO.</w:t>
      </w:r>
    </w:p>
    <w:p>
      <w:pPr>
        <w:spacing w:after="0" w:line="58" w:lineRule="exact"/>
        <w:rPr>
          <w:sz w:val="20"/>
          <w:szCs w:val="20"/>
          <w:color w:val="auto"/>
        </w:rPr>
      </w:pPr>
    </w:p>
    <w:p>
      <w:pPr>
        <w:ind w:left="461" w:right="20" w:firstLine="447"/>
        <w:spacing w:after="0" w:line="284" w:lineRule="auto"/>
        <w:rPr>
          <w:sz w:val="20"/>
          <w:szCs w:val="20"/>
          <w:color w:val="auto"/>
        </w:rPr>
      </w:pPr>
      <w:r>
        <w:rPr>
          <w:rFonts w:ascii="Arial" w:cs="Arial" w:eastAsia="Arial" w:hAnsi="Arial"/>
          <w:sz w:val="17"/>
          <w:szCs w:val="17"/>
          <w:color w:val="auto"/>
        </w:rPr>
        <w:t>In determining the preliminary price range, the Company and the lead underwriters for the IPO focused on the following comparable companies: Atlassian, Twilio, DocuSign, Okta, Elastic, Workday, ServiceNow, Shopify, Smartsheet, MongoDB and Zscaler. The addition of Smartsheet, MongoDB and Zscaler, in particular, contributed to the increase in the Company’s valuation due in part to the significant increases in valuation that these companies experienced between October 31, 2018 and March 21, 2019, which averaged over 90%. These three comparable companies were not included in the underwriters’ presentation in October 2018 because, at that time, the underwriters had not been provided with the Company’s historical financial results or its operating plan. Over the ensuing months, the Company and the lead underwriters held a number of meetings to discuss the Company’s historical financial results and its operating plan, which further informed the comparable companies that were included in the lead underwriters’ presentation to the Company’s board of directors and management on March 21, 2019. Despite the fact that these companies do not operate businesses similar to the Company, Smartsheet, MongoDB and Zscaler were added to the list of comparable companies as they represent the type of high-growth, software companies that investors in the IPO will view as relevant comparables to the Company, especially given that they have growth rates more similar to the Company than other comparable companies and had recently completed their own respective initial public offerings. Given the proximity to the Company’s IPO and the Company’s own growth rate, these additional companies provided highly relevant comparisons to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p>
      <w:pPr>
        <w:sectPr>
          <w:pgSz w:w="12240" w:h="15840" w:orient="portrait"/>
          <w:cols w:equalWidth="0" w:num="1">
            <w:col w:w="11641"/>
          </w:cols>
          <w:pgMar w:left="299" w:top="136" w:right="30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22375" cy="398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April 1,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4</w:t>
      </w:r>
    </w:p>
    <w:p>
      <w:pPr>
        <w:spacing w:after="0" w:line="153" w:lineRule="exact"/>
        <w:rPr>
          <w:sz w:val="20"/>
          <w:szCs w:val="20"/>
          <w:color w:val="auto"/>
        </w:rPr>
      </w:pPr>
    </w:p>
    <w:p>
      <w:pPr>
        <w:ind w:left="460" w:firstLine="447"/>
        <w:spacing w:after="0" w:line="289" w:lineRule="auto"/>
        <w:rPr>
          <w:sz w:val="20"/>
          <w:szCs w:val="20"/>
          <w:color w:val="auto"/>
        </w:rPr>
      </w:pPr>
      <w:r>
        <w:rPr>
          <w:rFonts w:ascii="Arial" w:cs="Arial" w:eastAsia="Arial" w:hAnsi="Arial"/>
          <w:sz w:val="17"/>
          <w:szCs w:val="17"/>
          <w:color w:val="auto"/>
        </w:rPr>
        <w:t>Moreover, the Company and the lead underwriters did not focus on some of the companies that were included in the October 2018, December 2018 and January 2019 valuations, such as Dropbox, RingCentral, LogMeIn, Alteryx, Five9, Box, Avaya, 8x8, LivePerson and Mitel Networks, because those companies do not have the same growth indicators as the Company even though some of them operate in industries that are more closely related to the Company than some of the comparable companies used in informing the Company’s preliminary price range. While some of these other companies have also experienced increases in their respective valuations over this period, such as RingCentral, Alteryx and Five9, the valuations of companies, such as Dropbox, LogMeIn, and Box, have declined or remained relatively flat. Finally, Mitel Networks did not represent a relevant comparable company for recent technology IPOs as it is no longer publicly traded.</w:t>
      </w:r>
    </w:p>
    <w:p>
      <w:pPr>
        <w:spacing w:after="0" w:line="64" w:lineRule="exact"/>
        <w:rPr>
          <w:sz w:val="20"/>
          <w:szCs w:val="20"/>
          <w:color w:val="auto"/>
        </w:rPr>
      </w:pPr>
    </w:p>
    <w:p>
      <w:pPr>
        <w:ind w:left="460" w:right="240" w:firstLine="447"/>
        <w:spacing w:after="0" w:line="263" w:lineRule="auto"/>
        <w:rPr>
          <w:sz w:val="20"/>
          <w:szCs w:val="20"/>
          <w:color w:val="auto"/>
        </w:rPr>
      </w:pPr>
      <w:r>
        <w:rPr>
          <w:rFonts w:ascii="Arial" w:cs="Arial" w:eastAsia="Arial" w:hAnsi="Arial"/>
          <w:sz w:val="19"/>
          <w:szCs w:val="19"/>
          <w:color w:val="auto"/>
        </w:rPr>
        <w:t>The following table shows the percentage increase or decrease, as the case may be, in the trading prices of the comparable companies that were included in (i) the October 2018, December 2018 and January 2019 valuations, (ii) the Company’s determination of the preliminary IPO price range on March 21, 2019 or (iii) both (i) and (ii):</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4"/>
                <w:szCs w:val="14"/>
                <w:color w:val="auto"/>
              </w:rPr>
            </w:pPr>
          </w:p>
        </w:tc>
        <w:tc>
          <w:tcPr>
            <w:tcW w:w="560" w:type="dxa"/>
            <w:vAlign w:val="bottom"/>
          </w:tcPr>
          <w:p>
            <w:pPr>
              <w:jc w:val="right"/>
              <w:ind w:right="109"/>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1"/>
              </w:rPr>
              <w:t>Inclusion</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gridSpan w:val="3"/>
          </w:tcPr>
          <w:p>
            <w:pPr>
              <w:jc w:val="center"/>
              <w:ind w:right="340"/>
              <w:spacing w:after="0" w:line="157" w:lineRule="exact"/>
              <w:rPr>
                <w:sz w:val="20"/>
                <w:szCs w:val="20"/>
                <w:color w:val="auto"/>
              </w:rPr>
            </w:pPr>
            <w:r>
              <w:rPr>
                <w:rFonts w:ascii="Arial" w:cs="Arial" w:eastAsia="Arial" w:hAnsi="Arial"/>
                <w:sz w:val="15"/>
                <w:szCs w:val="15"/>
                <w:b w:val="1"/>
                <w:bCs w:val="1"/>
                <w:color w:val="auto"/>
                <w:w w:val="90"/>
              </w:rPr>
              <w:t>Closing</w:t>
            </w:r>
          </w:p>
        </w:tc>
        <w:tc>
          <w:tcPr>
            <w:tcW w:w="800" w:type="dxa"/>
            <w:vAlign w:val="bottom"/>
            <w:gridSpan w:val="3"/>
          </w:tcPr>
          <w:p>
            <w:pPr>
              <w:jc w:val="center"/>
              <w:ind w:right="180"/>
              <w:spacing w:after="0" w:line="157" w:lineRule="exact"/>
              <w:rPr>
                <w:sz w:val="20"/>
                <w:szCs w:val="20"/>
                <w:color w:val="auto"/>
              </w:rPr>
            </w:pPr>
            <w:r>
              <w:rPr>
                <w:rFonts w:ascii="Arial" w:cs="Arial" w:eastAsia="Arial" w:hAnsi="Arial"/>
                <w:sz w:val="15"/>
                <w:szCs w:val="15"/>
                <w:b w:val="1"/>
                <w:bCs w:val="1"/>
                <w:color w:val="auto"/>
                <w:w w:val="90"/>
              </w:rPr>
              <w:t>Closing</w:t>
            </w:r>
          </w:p>
        </w:tc>
        <w:tc>
          <w:tcPr>
            <w:tcW w:w="180" w:type="dxa"/>
            <w:vAlign w:val="bottom"/>
          </w:tcPr>
          <w:p>
            <w:pPr>
              <w:spacing w:after="0"/>
              <w:rPr>
                <w:sz w:val="13"/>
                <w:szCs w:val="13"/>
                <w:color w:val="auto"/>
              </w:rPr>
            </w:pPr>
          </w:p>
        </w:tc>
        <w:tc>
          <w:tcPr>
            <w:tcW w:w="980" w:type="dxa"/>
            <w:vAlign w:val="bottom"/>
            <w:gridSpan w:val="3"/>
          </w:tcPr>
          <w:p>
            <w:pPr>
              <w:jc w:val="center"/>
              <w:ind w:right="360"/>
              <w:spacing w:after="0" w:line="157" w:lineRule="exact"/>
              <w:rPr>
                <w:sz w:val="20"/>
                <w:szCs w:val="20"/>
                <w:color w:val="auto"/>
              </w:rPr>
            </w:pPr>
            <w:r>
              <w:rPr>
                <w:rFonts w:ascii="Arial" w:cs="Arial" w:eastAsia="Arial" w:hAnsi="Arial"/>
                <w:sz w:val="15"/>
                <w:szCs w:val="15"/>
                <w:b w:val="1"/>
                <w:bCs w:val="1"/>
                <w:color w:val="auto"/>
                <w:w w:val="90"/>
              </w:rPr>
              <w:t>Closing</w:t>
            </w:r>
          </w:p>
        </w:tc>
        <w:tc>
          <w:tcPr>
            <w:tcW w:w="1120" w:type="dxa"/>
            <w:vAlign w:val="bottom"/>
            <w:gridSpan w:val="2"/>
          </w:tcPr>
          <w:p>
            <w:pPr>
              <w:jc w:val="right"/>
              <w:ind w:right="505"/>
              <w:spacing w:after="0" w:line="157" w:lineRule="exact"/>
              <w:rPr>
                <w:sz w:val="20"/>
                <w:szCs w:val="20"/>
                <w:color w:val="auto"/>
              </w:rPr>
            </w:pPr>
            <w:r>
              <w:rPr>
                <w:rFonts w:ascii="Arial" w:cs="Arial" w:eastAsia="Arial" w:hAnsi="Arial"/>
                <w:sz w:val="15"/>
                <w:szCs w:val="15"/>
                <w:b w:val="1"/>
                <w:bCs w:val="1"/>
                <w:color w:val="auto"/>
                <w:w w:val="90"/>
              </w:rPr>
              <w:t>Change</w:t>
            </w:r>
          </w:p>
        </w:tc>
        <w:tc>
          <w:tcPr>
            <w:tcW w:w="1140" w:type="dxa"/>
            <w:vAlign w:val="bottom"/>
            <w:gridSpan w:val="2"/>
          </w:tcPr>
          <w:p>
            <w:pPr>
              <w:jc w:val="right"/>
              <w:ind w:right="505"/>
              <w:spacing w:after="0" w:line="157" w:lineRule="exact"/>
              <w:rPr>
                <w:sz w:val="20"/>
                <w:szCs w:val="20"/>
                <w:color w:val="auto"/>
              </w:rPr>
            </w:pPr>
            <w:r>
              <w:rPr>
                <w:rFonts w:ascii="Arial" w:cs="Arial" w:eastAsia="Arial" w:hAnsi="Arial"/>
                <w:sz w:val="15"/>
                <w:szCs w:val="15"/>
                <w:b w:val="1"/>
                <w:bCs w:val="1"/>
                <w:color w:val="auto"/>
                <w:w w:val="94"/>
              </w:rPr>
              <w:t>Change</w:t>
            </w:r>
          </w:p>
        </w:tc>
        <w:tc>
          <w:tcPr>
            <w:tcW w:w="7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82"/>
              </w:rPr>
              <w:t>as a</w:t>
            </w:r>
          </w:p>
        </w:tc>
        <w:tc>
          <w:tcPr>
            <w:tcW w:w="0" w:type="dxa"/>
            <w:vAlign w:val="bottom"/>
          </w:tcPr>
          <w:p>
            <w:pPr>
              <w:spacing w:after="0"/>
              <w:rPr>
                <w:sz w:val="1"/>
                <w:szCs w:val="1"/>
                <w:color w:val="auto"/>
              </w:rPr>
            </w:pPr>
          </w:p>
        </w:tc>
      </w:tr>
      <w:tr>
        <w:trPr>
          <w:trHeight w:val="157"/>
        </w:trPr>
        <w:tc>
          <w:tcPr>
            <w:tcW w:w="640" w:type="dxa"/>
            <w:vAlign w:val="bottom"/>
            <w:vMerge w:val="restart"/>
          </w:tcPr>
          <w:p>
            <w:pPr>
              <w:spacing w:after="0"/>
              <w:rPr>
                <w:sz w:val="20"/>
                <w:szCs w:val="20"/>
                <w:color w:val="auto"/>
              </w:rPr>
            </w:pPr>
            <w:r>
              <w:rPr>
                <w:rFonts w:ascii="Arial" w:cs="Arial" w:eastAsia="Arial" w:hAnsi="Arial"/>
                <w:sz w:val="15"/>
                <w:szCs w:val="15"/>
                <w:b w:val="1"/>
                <w:bCs w:val="1"/>
                <w:color w:val="auto"/>
                <w:w w:val="90"/>
              </w:rPr>
              <w:t>Company</w:t>
            </w:r>
          </w:p>
        </w:tc>
        <w:tc>
          <w:tcPr>
            <w:tcW w:w="2540" w:type="dxa"/>
            <w:vAlign w:val="bottom"/>
            <w:vMerge w:val="restart"/>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480"/>
              <w:spacing w:after="0" w:line="157" w:lineRule="exact"/>
              <w:rPr>
                <w:sz w:val="20"/>
                <w:szCs w:val="20"/>
                <w:color w:val="auto"/>
              </w:rPr>
            </w:pPr>
            <w:r>
              <w:rPr>
                <w:rFonts w:ascii="Arial" w:cs="Arial" w:eastAsia="Arial" w:hAnsi="Arial"/>
                <w:sz w:val="15"/>
                <w:szCs w:val="15"/>
                <w:b w:val="1"/>
                <w:bCs w:val="1"/>
                <w:color w:val="auto"/>
                <w:w w:val="92"/>
              </w:rPr>
              <w:t>Price</w:t>
            </w:r>
          </w:p>
        </w:tc>
        <w:tc>
          <w:tcPr>
            <w:tcW w:w="100" w:type="dxa"/>
            <w:vAlign w:val="bottom"/>
          </w:tcPr>
          <w:p>
            <w:pPr>
              <w:spacing w:after="0"/>
              <w:rPr>
                <w:sz w:val="13"/>
                <w:szCs w:val="13"/>
                <w:color w:val="auto"/>
              </w:rPr>
            </w:pPr>
          </w:p>
        </w:tc>
        <w:tc>
          <w:tcPr>
            <w:tcW w:w="70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92"/>
              </w:rPr>
              <w:t>Price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60"/>
              <w:spacing w:after="0" w:line="157" w:lineRule="exact"/>
              <w:rPr>
                <w:sz w:val="20"/>
                <w:szCs w:val="20"/>
                <w:color w:val="auto"/>
              </w:rPr>
            </w:pPr>
            <w:r>
              <w:rPr>
                <w:rFonts w:ascii="Arial" w:cs="Arial" w:eastAsia="Arial" w:hAnsi="Arial"/>
                <w:sz w:val="15"/>
                <w:szCs w:val="15"/>
                <w:b w:val="1"/>
                <w:bCs w:val="1"/>
                <w:color w:val="auto"/>
                <w:w w:val="92"/>
              </w:rPr>
              <w:t>Price</w:t>
            </w:r>
          </w:p>
        </w:tc>
        <w:tc>
          <w:tcPr>
            <w:tcW w:w="1120" w:type="dxa"/>
            <w:vAlign w:val="bottom"/>
            <w:gridSpan w:val="2"/>
          </w:tcPr>
          <w:p>
            <w:pPr>
              <w:jc w:val="right"/>
              <w:ind w:right="585"/>
              <w:spacing w:after="0" w:line="157" w:lineRule="exact"/>
              <w:rPr>
                <w:sz w:val="20"/>
                <w:szCs w:val="20"/>
                <w:color w:val="auto"/>
              </w:rPr>
            </w:pPr>
            <w:r>
              <w:rPr>
                <w:rFonts w:ascii="Arial" w:cs="Arial" w:eastAsia="Arial" w:hAnsi="Arial"/>
                <w:sz w:val="15"/>
                <w:szCs w:val="15"/>
                <w:b w:val="1"/>
                <w:bCs w:val="1"/>
                <w:color w:val="auto"/>
              </w:rPr>
              <w:t>from</w:t>
            </w:r>
          </w:p>
        </w:tc>
        <w:tc>
          <w:tcPr>
            <w:tcW w:w="1140" w:type="dxa"/>
            <w:vAlign w:val="bottom"/>
            <w:gridSpan w:val="2"/>
          </w:tcPr>
          <w:p>
            <w:pPr>
              <w:jc w:val="right"/>
              <w:ind w:right="605"/>
              <w:spacing w:after="0" w:line="157" w:lineRule="exact"/>
              <w:rPr>
                <w:sz w:val="20"/>
                <w:szCs w:val="20"/>
                <w:color w:val="auto"/>
              </w:rPr>
            </w:pPr>
            <w:r>
              <w:rPr>
                <w:rFonts w:ascii="Arial" w:cs="Arial" w:eastAsia="Arial" w:hAnsi="Arial"/>
                <w:sz w:val="15"/>
                <w:szCs w:val="15"/>
                <w:b w:val="1"/>
                <w:bCs w:val="1"/>
                <w:color w:val="auto"/>
              </w:rPr>
              <w:t>from</w:t>
            </w:r>
          </w:p>
        </w:tc>
        <w:tc>
          <w:tcPr>
            <w:tcW w:w="78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0"/>
              </w:rPr>
              <w:t>comparable</w:t>
            </w:r>
          </w:p>
        </w:tc>
        <w:tc>
          <w:tcPr>
            <w:tcW w:w="0" w:type="dxa"/>
            <w:vAlign w:val="bottom"/>
          </w:tcPr>
          <w:p>
            <w:pPr>
              <w:spacing w:after="0"/>
              <w:rPr>
                <w:sz w:val="1"/>
                <w:szCs w:val="1"/>
                <w:color w:val="auto"/>
              </w:rPr>
            </w:pPr>
          </w:p>
        </w:tc>
      </w:tr>
      <w:tr>
        <w:trPr>
          <w:trHeight w:val="186"/>
        </w:trPr>
        <w:tc>
          <w:tcPr>
            <w:tcW w:w="640" w:type="dxa"/>
            <w:vAlign w:val="bottom"/>
            <w:tcBorders>
              <w:bottom w:val="single" w:sz="8" w:color="auto"/>
            </w:tcBorders>
            <w:vMerge w:val="continue"/>
          </w:tcPr>
          <w:p>
            <w:pPr>
              <w:spacing w:after="0"/>
              <w:rPr>
                <w:sz w:val="16"/>
                <w:szCs w:val="16"/>
                <w:color w:val="auto"/>
              </w:rPr>
            </w:pPr>
          </w:p>
        </w:tc>
        <w:tc>
          <w:tcPr>
            <w:tcW w:w="2540" w:type="dxa"/>
            <w:vAlign w:val="bottom"/>
            <w:vMerge w:val="continue"/>
          </w:tcPr>
          <w:p>
            <w:pPr>
              <w:spacing w:after="0"/>
              <w:rPr>
                <w:sz w:val="16"/>
                <w:szCs w:val="16"/>
                <w:color w:val="auto"/>
              </w:rPr>
            </w:pPr>
          </w:p>
        </w:tc>
        <w:tc>
          <w:tcPr>
            <w:tcW w:w="2620" w:type="dxa"/>
            <w:vAlign w:val="bottom"/>
            <w:gridSpan w:val="3"/>
          </w:tcPr>
          <w:p>
            <w:pPr>
              <w:jc w:val="right"/>
              <w:spacing w:after="0" w:line="166" w:lineRule="exact"/>
              <w:rPr>
                <w:sz w:val="20"/>
                <w:szCs w:val="20"/>
                <w:color w:val="auto"/>
              </w:rPr>
            </w:pPr>
            <w:r>
              <w:rPr>
                <w:rFonts w:ascii="Arial" w:cs="Arial" w:eastAsia="Arial" w:hAnsi="Arial"/>
                <w:sz w:val="15"/>
                <w:szCs w:val="15"/>
                <w:b w:val="1"/>
                <w:bCs w:val="1"/>
                <w:color w:val="auto"/>
              </w:rPr>
              <w:t>(10/31/18)</w:t>
            </w:r>
          </w:p>
        </w:tc>
        <w:tc>
          <w:tcPr>
            <w:tcW w:w="360" w:type="dxa"/>
            <w:vAlign w:val="bottom"/>
          </w:tcPr>
          <w:p>
            <w:pPr>
              <w:spacing w:after="0"/>
              <w:rPr>
                <w:sz w:val="16"/>
                <w:szCs w:val="16"/>
                <w:color w:val="auto"/>
              </w:rPr>
            </w:pPr>
          </w:p>
        </w:tc>
        <w:tc>
          <w:tcPr>
            <w:tcW w:w="62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w w:val="96"/>
              </w:rPr>
              <w:t>(1/31/19)</w:t>
            </w:r>
          </w:p>
        </w:tc>
        <w:tc>
          <w:tcPr>
            <w:tcW w:w="180" w:type="dxa"/>
            <w:vAlign w:val="bottom"/>
          </w:tcPr>
          <w:p>
            <w:pPr>
              <w:spacing w:after="0"/>
              <w:rPr>
                <w:sz w:val="16"/>
                <w:szCs w:val="16"/>
                <w:color w:val="auto"/>
              </w:rPr>
            </w:pPr>
          </w:p>
        </w:tc>
        <w:tc>
          <w:tcPr>
            <w:tcW w:w="800" w:type="dxa"/>
            <w:vAlign w:val="bottom"/>
            <w:gridSpan w:val="3"/>
          </w:tcPr>
          <w:p>
            <w:pPr>
              <w:jc w:val="center"/>
              <w:ind w:left="86"/>
              <w:spacing w:after="0" w:line="166" w:lineRule="exact"/>
              <w:rPr>
                <w:sz w:val="20"/>
                <w:szCs w:val="20"/>
                <w:color w:val="auto"/>
              </w:rPr>
            </w:pPr>
            <w:r>
              <w:rPr>
                <w:rFonts w:ascii="Arial" w:cs="Arial" w:eastAsia="Arial" w:hAnsi="Arial"/>
                <w:sz w:val="15"/>
                <w:szCs w:val="15"/>
                <w:b w:val="1"/>
                <w:bCs w:val="1"/>
                <w:color w:val="auto"/>
                <w:w w:val="96"/>
              </w:rPr>
              <w:t>(3/21/19)</w:t>
            </w:r>
          </w:p>
        </w:tc>
        <w:tc>
          <w:tcPr>
            <w:tcW w:w="360" w:type="dxa"/>
            <w:vAlign w:val="bottom"/>
          </w:tcPr>
          <w:p>
            <w:pPr>
              <w:spacing w:after="0"/>
              <w:rPr>
                <w:sz w:val="16"/>
                <w:szCs w:val="16"/>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b w:val="1"/>
                <w:bCs w:val="1"/>
                <w:color w:val="auto"/>
                <w:w w:val="88"/>
              </w:rPr>
              <w:t>10/31/18</w:t>
            </w:r>
          </w:p>
        </w:tc>
        <w:tc>
          <w:tcPr>
            <w:tcW w:w="560" w:type="dxa"/>
            <w:vAlign w:val="bottom"/>
          </w:tcPr>
          <w:p>
            <w:pPr>
              <w:spacing w:after="0"/>
              <w:rPr>
                <w:sz w:val="16"/>
                <w:szCs w:val="16"/>
                <w:color w:val="auto"/>
              </w:rPr>
            </w:pPr>
          </w:p>
        </w:tc>
        <w:tc>
          <w:tcPr>
            <w:tcW w:w="560" w:type="dxa"/>
            <w:vAlign w:val="bottom"/>
          </w:tcPr>
          <w:p>
            <w:pPr>
              <w:jc w:val="right"/>
              <w:spacing w:after="0" w:line="166" w:lineRule="exact"/>
              <w:rPr>
                <w:sz w:val="20"/>
                <w:szCs w:val="20"/>
                <w:color w:val="auto"/>
              </w:rPr>
            </w:pPr>
            <w:r>
              <w:rPr>
                <w:rFonts w:ascii="Arial" w:cs="Arial" w:eastAsia="Arial" w:hAnsi="Arial"/>
                <w:sz w:val="15"/>
                <w:szCs w:val="15"/>
                <w:b w:val="1"/>
                <w:bCs w:val="1"/>
                <w:color w:val="auto"/>
                <w:w w:val="99"/>
              </w:rPr>
              <w:t>1/31/19</w:t>
            </w:r>
          </w:p>
        </w:tc>
        <w:tc>
          <w:tcPr>
            <w:tcW w:w="580" w:type="dxa"/>
            <w:vAlign w:val="bottom"/>
          </w:tcPr>
          <w:p>
            <w:pPr>
              <w:spacing w:after="0"/>
              <w:rPr>
                <w:sz w:val="16"/>
                <w:szCs w:val="16"/>
                <w:color w:val="auto"/>
              </w:rPr>
            </w:pPr>
          </w:p>
        </w:tc>
        <w:tc>
          <w:tcPr>
            <w:tcW w:w="78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1"/>
              </w:rPr>
              <w:t>company</w:t>
            </w:r>
          </w:p>
        </w:tc>
        <w:tc>
          <w:tcPr>
            <w:tcW w:w="0" w:type="dxa"/>
            <w:vAlign w:val="bottom"/>
          </w:tcPr>
          <w:p>
            <w:pPr>
              <w:spacing w:after="0"/>
              <w:rPr>
                <w:sz w:val="1"/>
                <w:szCs w:val="1"/>
                <w:color w:val="auto"/>
              </w:rPr>
            </w:pPr>
          </w:p>
        </w:tc>
      </w:tr>
      <w:tr>
        <w:trPr>
          <w:trHeight w:val="202"/>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9"/>
                <w:szCs w:val="19"/>
                <w:color w:val="auto"/>
              </w:rPr>
              <w:t>Dropbox</w:t>
            </w: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w w:val="75"/>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rPr>
              <w:t>23.47</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rPr>
              <w:t>24.71</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rPr>
              <w:t>22.66</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rPr>
              <w:t>(3.45</w:t>
            </w:r>
          </w:p>
        </w:tc>
        <w:tc>
          <w:tcPr>
            <w:tcW w:w="560" w:type="dxa"/>
            <w:vAlign w:val="bottom"/>
            <w:tcBorders>
              <w:top w:val="single" w:sz="8" w:color="CCEEFF"/>
            </w:tcBorders>
            <w:shd w:val="clear" w:color="auto" w:fill="CCEEFF"/>
          </w:tcPr>
          <w:p>
            <w:pPr>
              <w:jc w:val="right"/>
              <w:ind w:right="245"/>
              <w:spacing w:after="0" w:line="203" w:lineRule="exact"/>
              <w:rPr>
                <w:sz w:val="20"/>
                <w:szCs w:val="20"/>
                <w:color w:val="auto"/>
              </w:rPr>
            </w:pPr>
            <w:r>
              <w:rPr>
                <w:rFonts w:ascii="Arial" w:cs="Arial" w:eastAsia="Arial" w:hAnsi="Arial"/>
                <w:sz w:val="19"/>
                <w:szCs w:val="19"/>
                <w:color w:val="auto"/>
                <w:w w:val="85"/>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9"/>
                <w:szCs w:val="19"/>
                <w:color w:val="auto"/>
              </w:rPr>
              <w:t>(8.30</w:t>
            </w:r>
          </w:p>
        </w:tc>
        <w:tc>
          <w:tcPr>
            <w:tcW w:w="580" w:type="dxa"/>
            <w:vAlign w:val="bottom"/>
            <w:tcBorders>
              <w:top w:val="single" w:sz="8" w:color="CCEEFF"/>
            </w:tcBorders>
            <w:shd w:val="clear" w:color="auto" w:fill="CCEEFF"/>
          </w:tcPr>
          <w:p>
            <w:pPr>
              <w:jc w:val="right"/>
              <w:ind w:right="265"/>
              <w:spacing w:after="0" w:line="203" w:lineRule="exact"/>
              <w:rPr>
                <w:sz w:val="20"/>
                <w:szCs w:val="20"/>
                <w:color w:val="auto"/>
              </w:rPr>
            </w:pPr>
            <w:r>
              <w:rPr>
                <w:rFonts w:ascii="Arial" w:cs="Arial" w:eastAsia="Arial" w:hAnsi="Arial"/>
                <w:sz w:val="19"/>
                <w:szCs w:val="19"/>
                <w:color w:val="auto"/>
                <w:w w:val="85"/>
              </w:rPr>
              <w:t>%)</w:t>
            </w: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line="214" w:lineRule="exact"/>
              <w:rPr>
                <w:sz w:val="20"/>
                <w:szCs w:val="20"/>
                <w:color w:val="auto"/>
              </w:rPr>
            </w:pPr>
            <w:r>
              <w:rPr>
                <w:rFonts w:ascii="Arial" w:cs="Arial" w:eastAsia="Arial" w:hAnsi="Arial"/>
                <w:sz w:val="19"/>
                <w:szCs w:val="19"/>
                <w:color w:val="auto"/>
              </w:rPr>
              <w:t>RingCentral</w:t>
            </w:r>
          </w:p>
        </w:tc>
        <w:tc>
          <w:tcPr>
            <w:tcW w:w="21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color w:val="auto"/>
              </w:rPr>
              <w:t>77.73</w:t>
            </w:r>
          </w:p>
        </w:tc>
        <w:tc>
          <w:tcPr>
            <w:tcW w:w="360" w:type="dxa"/>
            <w:vAlign w:val="bottom"/>
          </w:tcPr>
          <w:p>
            <w:pPr>
              <w:spacing w:after="0"/>
              <w:rPr>
                <w:sz w:val="18"/>
                <w:szCs w:val="18"/>
                <w:color w:val="auto"/>
              </w:rPr>
            </w:pPr>
          </w:p>
        </w:tc>
        <w:tc>
          <w:tcPr>
            <w:tcW w:w="100" w:type="dxa"/>
            <w:vAlign w:val="bottom"/>
          </w:tcPr>
          <w:p>
            <w:pPr>
              <w:spacing w:after="0" w:line="214" w:lineRule="exact"/>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line="214" w:lineRule="exact"/>
              <w:rPr>
                <w:sz w:val="20"/>
                <w:szCs w:val="20"/>
                <w:color w:val="auto"/>
              </w:rPr>
            </w:pPr>
            <w:r>
              <w:rPr>
                <w:rFonts w:ascii="Arial" w:cs="Arial" w:eastAsia="Arial" w:hAnsi="Arial"/>
                <w:sz w:val="19"/>
                <w:szCs w:val="19"/>
                <w:color w:val="auto"/>
              </w:rPr>
              <w:t>92.44</w:t>
            </w:r>
          </w:p>
        </w:tc>
        <w:tc>
          <w:tcPr>
            <w:tcW w:w="2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w w:val="85"/>
              </w:rPr>
              <w:t>111.57</w:t>
            </w:r>
          </w:p>
        </w:tc>
        <w:tc>
          <w:tcPr>
            <w:tcW w:w="1120" w:type="dxa"/>
            <w:vAlign w:val="bottom"/>
            <w:gridSpan w:val="2"/>
          </w:tcPr>
          <w:p>
            <w:pPr>
              <w:jc w:val="right"/>
              <w:ind w:right="305"/>
              <w:spacing w:after="0" w:line="214" w:lineRule="exact"/>
              <w:rPr>
                <w:sz w:val="20"/>
                <w:szCs w:val="20"/>
                <w:color w:val="auto"/>
              </w:rPr>
            </w:pPr>
            <w:r>
              <w:rPr>
                <w:rFonts w:ascii="Arial" w:cs="Arial" w:eastAsia="Arial" w:hAnsi="Arial"/>
                <w:sz w:val="19"/>
                <w:szCs w:val="19"/>
                <w:color w:val="auto"/>
              </w:rPr>
              <w:t>43.54%</w:t>
            </w:r>
          </w:p>
        </w:tc>
        <w:tc>
          <w:tcPr>
            <w:tcW w:w="1140" w:type="dxa"/>
            <w:vAlign w:val="bottom"/>
            <w:gridSpan w:val="2"/>
          </w:tcPr>
          <w:p>
            <w:pPr>
              <w:jc w:val="right"/>
              <w:ind w:right="325"/>
              <w:spacing w:after="0" w:line="214" w:lineRule="exact"/>
              <w:rPr>
                <w:sz w:val="20"/>
                <w:szCs w:val="20"/>
                <w:color w:val="auto"/>
              </w:rPr>
            </w:pPr>
            <w:r>
              <w:rPr>
                <w:rFonts w:ascii="Arial" w:cs="Arial" w:eastAsia="Arial" w:hAnsi="Arial"/>
                <w:sz w:val="19"/>
                <w:szCs w:val="19"/>
                <w:color w:val="auto"/>
              </w:rPr>
              <w:t>20.69%</w:t>
            </w:r>
          </w:p>
        </w:tc>
        <w:tc>
          <w:tcPr>
            <w:tcW w:w="780" w:type="dxa"/>
            <w:vAlign w:val="bottom"/>
          </w:tcPr>
          <w:p>
            <w:pPr>
              <w:jc w:val="center"/>
              <w:spacing w:after="0" w:line="214"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line="215" w:lineRule="exact"/>
              <w:rPr>
                <w:sz w:val="20"/>
                <w:szCs w:val="20"/>
                <w:color w:val="auto"/>
              </w:rPr>
            </w:pPr>
            <w:r>
              <w:rPr>
                <w:rFonts w:ascii="Arial" w:cs="Arial" w:eastAsia="Arial" w:hAnsi="Arial"/>
                <w:sz w:val="19"/>
                <w:szCs w:val="19"/>
                <w:color w:val="auto"/>
              </w:rPr>
              <w:t>LogMeIn</w:t>
            </w:r>
          </w:p>
        </w:tc>
        <w:tc>
          <w:tcPr>
            <w:tcW w:w="212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86.12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line="215" w:lineRule="exact"/>
              <w:rPr>
                <w:sz w:val="20"/>
                <w:szCs w:val="20"/>
                <w:color w:val="auto"/>
              </w:rPr>
            </w:pPr>
            <w:r>
              <w:rPr>
                <w:rFonts w:ascii="Arial" w:cs="Arial" w:eastAsia="Arial" w:hAnsi="Arial"/>
                <w:sz w:val="19"/>
                <w:szCs w:val="19"/>
                <w:color w:val="auto"/>
              </w:rPr>
              <w:t>93.02</w:t>
            </w:r>
          </w:p>
        </w:tc>
        <w:tc>
          <w:tcPr>
            <w:tcW w:w="28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line="215" w:lineRule="exact"/>
              <w:rPr>
                <w:sz w:val="20"/>
                <w:szCs w:val="20"/>
                <w:color w:val="auto"/>
              </w:rPr>
            </w:pPr>
            <w:r>
              <w:rPr>
                <w:rFonts w:ascii="Arial" w:cs="Arial" w:eastAsia="Arial" w:hAnsi="Arial"/>
                <w:sz w:val="19"/>
                <w:szCs w:val="19"/>
                <w:color w:val="auto"/>
              </w:rPr>
              <w:t>80.78</w:t>
            </w:r>
          </w:p>
        </w:tc>
        <w:tc>
          <w:tcPr>
            <w:tcW w:w="1120" w:type="dxa"/>
            <w:vAlign w:val="bottom"/>
            <w:gridSpan w:val="2"/>
            <w:shd w:val="clear" w:color="auto" w:fill="CCEEFF"/>
          </w:tcPr>
          <w:p>
            <w:pPr>
              <w:jc w:val="right"/>
              <w:ind w:right="245"/>
              <w:spacing w:after="0" w:line="215" w:lineRule="exact"/>
              <w:rPr>
                <w:sz w:val="20"/>
                <w:szCs w:val="20"/>
                <w:color w:val="auto"/>
              </w:rPr>
            </w:pPr>
            <w:r>
              <w:rPr>
                <w:rFonts w:ascii="Arial" w:cs="Arial" w:eastAsia="Arial" w:hAnsi="Arial"/>
                <w:sz w:val="19"/>
                <w:szCs w:val="19"/>
                <w:color w:val="auto"/>
              </w:rPr>
              <w:t>(6.20%)</w:t>
            </w:r>
          </w:p>
        </w:tc>
        <w:tc>
          <w:tcPr>
            <w:tcW w:w="1140" w:type="dxa"/>
            <w:vAlign w:val="bottom"/>
            <w:gridSpan w:val="2"/>
            <w:shd w:val="clear" w:color="auto" w:fill="CCEEFF"/>
          </w:tcPr>
          <w:p>
            <w:pPr>
              <w:jc w:val="right"/>
              <w:ind w:right="265"/>
              <w:spacing w:after="0" w:line="215" w:lineRule="exact"/>
              <w:rPr>
                <w:sz w:val="20"/>
                <w:szCs w:val="20"/>
                <w:color w:val="auto"/>
              </w:rPr>
            </w:pPr>
            <w:r>
              <w:rPr>
                <w:rFonts w:ascii="Arial" w:cs="Arial" w:eastAsia="Arial" w:hAnsi="Arial"/>
                <w:sz w:val="19"/>
                <w:szCs w:val="19"/>
                <w:color w:val="auto"/>
                <w:w w:val="98"/>
              </w:rPr>
              <w:t>(13.16%)</w:t>
            </w:r>
          </w:p>
        </w:tc>
        <w:tc>
          <w:tcPr>
            <w:tcW w:w="780" w:type="dxa"/>
            <w:vAlign w:val="bottom"/>
            <w:shd w:val="clear" w:color="auto" w:fill="CCEEFF"/>
          </w:tcPr>
          <w:p>
            <w:pPr>
              <w:jc w:val="center"/>
              <w:spacing w:after="0" w:line="215"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line="214" w:lineRule="exact"/>
              <w:rPr>
                <w:sz w:val="20"/>
                <w:szCs w:val="20"/>
                <w:color w:val="auto"/>
              </w:rPr>
            </w:pPr>
            <w:r>
              <w:rPr>
                <w:rFonts w:ascii="Arial" w:cs="Arial" w:eastAsia="Arial" w:hAnsi="Arial"/>
                <w:sz w:val="19"/>
                <w:szCs w:val="19"/>
                <w:color w:val="auto"/>
              </w:rPr>
              <w:t>Alteryx</w:t>
            </w:r>
          </w:p>
        </w:tc>
        <w:tc>
          <w:tcPr>
            <w:tcW w:w="21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color w:val="auto"/>
              </w:rPr>
              <w:t>52.99</w:t>
            </w:r>
          </w:p>
        </w:tc>
        <w:tc>
          <w:tcPr>
            <w:tcW w:w="360" w:type="dxa"/>
            <w:vAlign w:val="bottom"/>
          </w:tcPr>
          <w:p>
            <w:pPr>
              <w:spacing w:after="0"/>
              <w:rPr>
                <w:sz w:val="18"/>
                <w:szCs w:val="18"/>
                <w:color w:val="auto"/>
              </w:rPr>
            </w:pPr>
          </w:p>
        </w:tc>
        <w:tc>
          <w:tcPr>
            <w:tcW w:w="100" w:type="dxa"/>
            <w:vAlign w:val="bottom"/>
          </w:tcPr>
          <w:p>
            <w:pPr>
              <w:spacing w:after="0" w:line="214" w:lineRule="exact"/>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line="214" w:lineRule="exact"/>
              <w:rPr>
                <w:sz w:val="20"/>
                <w:szCs w:val="20"/>
                <w:color w:val="auto"/>
              </w:rPr>
            </w:pPr>
            <w:r>
              <w:rPr>
                <w:rFonts w:ascii="Arial" w:cs="Arial" w:eastAsia="Arial" w:hAnsi="Arial"/>
                <w:sz w:val="19"/>
                <w:szCs w:val="19"/>
                <w:color w:val="auto"/>
              </w:rPr>
              <w:t>71.15</w:t>
            </w:r>
          </w:p>
        </w:tc>
        <w:tc>
          <w:tcPr>
            <w:tcW w:w="2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rPr>
              <w:t>85.67</w:t>
            </w:r>
          </w:p>
        </w:tc>
        <w:tc>
          <w:tcPr>
            <w:tcW w:w="1120" w:type="dxa"/>
            <w:vAlign w:val="bottom"/>
            <w:gridSpan w:val="2"/>
          </w:tcPr>
          <w:p>
            <w:pPr>
              <w:jc w:val="right"/>
              <w:ind w:right="305"/>
              <w:spacing w:after="0" w:line="214" w:lineRule="exact"/>
              <w:rPr>
                <w:sz w:val="20"/>
                <w:szCs w:val="20"/>
                <w:color w:val="auto"/>
              </w:rPr>
            </w:pPr>
            <w:r>
              <w:rPr>
                <w:rFonts w:ascii="Arial" w:cs="Arial" w:eastAsia="Arial" w:hAnsi="Arial"/>
                <w:sz w:val="19"/>
                <w:szCs w:val="19"/>
                <w:color w:val="auto"/>
              </w:rPr>
              <w:t>61.67%</w:t>
            </w:r>
          </w:p>
        </w:tc>
        <w:tc>
          <w:tcPr>
            <w:tcW w:w="1140" w:type="dxa"/>
            <w:vAlign w:val="bottom"/>
            <w:gridSpan w:val="2"/>
          </w:tcPr>
          <w:p>
            <w:pPr>
              <w:jc w:val="right"/>
              <w:ind w:right="325"/>
              <w:spacing w:after="0" w:line="214" w:lineRule="exact"/>
              <w:rPr>
                <w:sz w:val="20"/>
                <w:szCs w:val="20"/>
                <w:color w:val="auto"/>
              </w:rPr>
            </w:pPr>
            <w:r>
              <w:rPr>
                <w:rFonts w:ascii="Arial" w:cs="Arial" w:eastAsia="Arial" w:hAnsi="Arial"/>
                <w:sz w:val="19"/>
                <w:szCs w:val="19"/>
                <w:color w:val="auto"/>
              </w:rPr>
              <w:t>20.41%</w:t>
            </w:r>
          </w:p>
        </w:tc>
        <w:tc>
          <w:tcPr>
            <w:tcW w:w="780" w:type="dxa"/>
            <w:vAlign w:val="bottom"/>
          </w:tcPr>
          <w:p>
            <w:pPr>
              <w:jc w:val="center"/>
              <w:spacing w:after="0" w:line="214"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line="215" w:lineRule="exact"/>
              <w:rPr>
                <w:sz w:val="20"/>
                <w:szCs w:val="20"/>
                <w:color w:val="auto"/>
              </w:rPr>
            </w:pPr>
            <w:r>
              <w:rPr>
                <w:rFonts w:ascii="Arial" w:cs="Arial" w:eastAsia="Arial" w:hAnsi="Arial"/>
                <w:sz w:val="19"/>
                <w:szCs w:val="19"/>
                <w:color w:val="auto"/>
              </w:rPr>
              <w:t>Five9</w:t>
            </w:r>
          </w:p>
        </w:tc>
        <w:tc>
          <w:tcPr>
            <w:tcW w:w="212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39.36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line="215" w:lineRule="exact"/>
              <w:rPr>
                <w:sz w:val="20"/>
                <w:szCs w:val="20"/>
                <w:color w:val="auto"/>
              </w:rPr>
            </w:pPr>
            <w:r>
              <w:rPr>
                <w:rFonts w:ascii="Arial" w:cs="Arial" w:eastAsia="Arial" w:hAnsi="Arial"/>
                <w:sz w:val="19"/>
                <w:szCs w:val="19"/>
                <w:color w:val="auto"/>
              </w:rPr>
              <w:t>51.13</w:t>
            </w:r>
          </w:p>
        </w:tc>
        <w:tc>
          <w:tcPr>
            <w:tcW w:w="28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line="215" w:lineRule="exact"/>
              <w:rPr>
                <w:sz w:val="20"/>
                <w:szCs w:val="20"/>
                <w:color w:val="auto"/>
              </w:rPr>
            </w:pPr>
            <w:r>
              <w:rPr>
                <w:rFonts w:ascii="Arial" w:cs="Arial" w:eastAsia="Arial" w:hAnsi="Arial"/>
                <w:sz w:val="19"/>
                <w:szCs w:val="19"/>
                <w:color w:val="auto"/>
              </w:rPr>
              <w:t>56.49</w:t>
            </w:r>
          </w:p>
        </w:tc>
        <w:tc>
          <w:tcPr>
            <w:tcW w:w="1120" w:type="dxa"/>
            <w:vAlign w:val="bottom"/>
            <w:gridSpan w:val="2"/>
            <w:shd w:val="clear" w:color="auto" w:fill="CCEEFF"/>
          </w:tcPr>
          <w:p>
            <w:pPr>
              <w:jc w:val="right"/>
              <w:ind w:right="305"/>
              <w:spacing w:after="0" w:line="215" w:lineRule="exact"/>
              <w:rPr>
                <w:sz w:val="20"/>
                <w:szCs w:val="20"/>
                <w:color w:val="auto"/>
              </w:rPr>
            </w:pPr>
            <w:r>
              <w:rPr>
                <w:rFonts w:ascii="Arial" w:cs="Arial" w:eastAsia="Arial" w:hAnsi="Arial"/>
                <w:sz w:val="19"/>
                <w:szCs w:val="19"/>
                <w:color w:val="auto"/>
              </w:rPr>
              <w:t>43.52%</w:t>
            </w:r>
          </w:p>
        </w:tc>
        <w:tc>
          <w:tcPr>
            <w:tcW w:w="1140" w:type="dxa"/>
            <w:vAlign w:val="bottom"/>
            <w:gridSpan w:val="2"/>
            <w:shd w:val="clear" w:color="auto" w:fill="CCEEFF"/>
          </w:tcPr>
          <w:p>
            <w:pPr>
              <w:jc w:val="right"/>
              <w:ind w:right="325"/>
              <w:spacing w:after="0" w:line="215" w:lineRule="exact"/>
              <w:rPr>
                <w:sz w:val="20"/>
                <w:szCs w:val="20"/>
                <w:color w:val="auto"/>
              </w:rPr>
            </w:pPr>
            <w:r>
              <w:rPr>
                <w:rFonts w:ascii="Arial" w:cs="Arial" w:eastAsia="Arial" w:hAnsi="Arial"/>
                <w:sz w:val="19"/>
                <w:szCs w:val="19"/>
                <w:color w:val="auto"/>
              </w:rPr>
              <w:t>10.48%</w:t>
            </w:r>
          </w:p>
        </w:tc>
        <w:tc>
          <w:tcPr>
            <w:tcW w:w="780" w:type="dxa"/>
            <w:vAlign w:val="bottom"/>
            <w:shd w:val="clear" w:color="auto" w:fill="CCEEFF"/>
          </w:tcPr>
          <w:p>
            <w:pPr>
              <w:jc w:val="center"/>
              <w:spacing w:after="0" w:line="215"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line="214" w:lineRule="exact"/>
              <w:rPr>
                <w:sz w:val="20"/>
                <w:szCs w:val="20"/>
                <w:color w:val="auto"/>
              </w:rPr>
            </w:pPr>
            <w:r>
              <w:rPr>
                <w:rFonts w:ascii="Arial" w:cs="Arial" w:eastAsia="Arial" w:hAnsi="Arial"/>
                <w:sz w:val="19"/>
                <w:szCs w:val="19"/>
                <w:color w:val="auto"/>
              </w:rPr>
              <w:t>Box</w:t>
            </w:r>
          </w:p>
        </w:tc>
        <w:tc>
          <w:tcPr>
            <w:tcW w:w="21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color w:val="auto"/>
              </w:rPr>
              <w:t>18.00</w:t>
            </w:r>
          </w:p>
        </w:tc>
        <w:tc>
          <w:tcPr>
            <w:tcW w:w="360" w:type="dxa"/>
            <w:vAlign w:val="bottom"/>
          </w:tcPr>
          <w:p>
            <w:pPr>
              <w:spacing w:after="0"/>
              <w:rPr>
                <w:sz w:val="18"/>
                <w:szCs w:val="18"/>
                <w:color w:val="auto"/>
              </w:rPr>
            </w:pPr>
          </w:p>
        </w:tc>
        <w:tc>
          <w:tcPr>
            <w:tcW w:w="100" w:type="dxa"/>
            <w:vAlign w:val="bottom"/>
          </w:tcPr>
          <w:p>
            <w:pPr>
              <w:spacing w:after="0" w:line="214" w:lineRule="exact"/>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line="214" w:lineRule="exact"/>
              <w:rPr>
                <w:sz w:val="20"/>
                <w:szCs w:val="20"/>
                <w:color w:val="auto"/>
              </w:rPr>
            </w:pPr>
            <w:r>
              <w:rPr>
                <w:rFonts w:ascii="Arial" w:cs="Arial" w:eastAsia="Arial" w:hAnsi="Arial"/>
                <w:sz w:val="19"/>
                <w:szCs w:val="19"/>
                <w:color w:val="auto"/>
              </w:rPr>
              <w:t>20.92</w:t>
            </w:r>
          </w:p>
        </w:tc>
        <w:tc>
          <w:tcPr>
            <w:tcW w:w="2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rPr>
              <w:t>19.95</w:t>
            </w:r>
          </w:p>
        </w:tc>
        <w:tc>
          <w:tcPr>
            <w:tcW w:w="1120" w:type="dxa"/>
            <w:vAlign w:val="bottom"/>
            <w:gridSpan w:val="2"/>
          </w:tcPr>
          <w:p>
            <w:pPr>
              <w:jc w:val="right"/>
              <w:ind w:right="305"/>
              <w:spacing w:after="0" w:line="214" w:lineRule="exact"/>
              <w:rPr>
                <w:sz w:val="20"/>
                <w:szCs w:val="20"/>
                <w:color w:val="auto"/>
              </w:rPr>
            </w:pPr>
            <w:r>
              <w:rPr>
                <w:rFonts w:ascii="Arial" w:cs="Arial" w:eastAsia="Arial" w:hAnsi="Arial"/>
                <w:sz w:val="19"/>
                <w:szCs w:val="19"/>
                <w:color w:val="auto"/>
              </w:rPr>
              <w:t>10.83%</w:t>
            </w:r>
          </w:p>
        </w:tc>
        <w:tc>
          <w:tcPr>
            <w:tcW w:w="1140" w:type="dxa"/>
            <w:vAlign w:val="bottom"/>
            <w:gridSpan w:val="2"/>
          </w:tcPr>
          <w:p>
            <w:pPr>
              <w:jc w:val="right"/>
              <w:ind w:right="265"/>
              <w:spacing w:after="0" w:line="214" w:lineRule="exact"/>
              <w:rPr>
                <w:sz w:val="20"/>
                <w:szCs w:val="20"/>
                <w:color w:val="auto"/>
              </w:rPr>
            </w:pPr>
            <w:r>
              <w:rPr>
                <w:rFonts w:ascii="Arial" w:cs="Arial" w:eastAsia="Arial" w:hAnsi="Arial"/>
                <w:sz w:val="19"/>
                <w:szCs w:val="19"/>
                <w:color w:val="auto"/>
              </w:rPr>
              <w:t>(4.64%)</w:t>
            </w:r>
          </w:p>
        </w:tc>
        <w:tc>
          <w:tcPr>
            <w:tcW w:w="780" w:type="dxa"/>
            <w:vAlign w:val="bottom"/>
          </w:tcPr>
          <w:p>
            <w:pPr>
              <w:jc w:val="center"/>
              <w:spacing w:after="0" w:line="214"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line="215" w:lineRule="exact"/>
              <w:rPr>
                <w:sz w:val="20"/>
                <w:szCs w:val="20"/>
                <w:color w:val="auto"/>
              </w:rPr>
            </w:pPr>
            <w:r>
              <w:rPr>
                <w:rFonts w:ascii="Arial" w:cs="Arial" w:eastAsia="Arial" w:hAnsi="Arial"/>
                <w:sz w:val="19"/>
                <w:szCs w:val="19"/>
                <w:color w:val="auto"/>
              </w:rPr>
              <w:t>Avaya</w:t>
            </w:r>
          </w:p>
        </w:tc>
        <w:tc>
          <w:tcPr>
            <w:tcW w:w="212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16.42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line="215" w:lineRule="exact"/>
              <w:rPr>
                <w:sz w:val="20"/>
                <w:szCs w:val="20"/>
                <w:color w:val="auto"/>
              </w:rPr>
            </w:pPr>
            <w:r>
              <w:rPr>
                <w:rFonts w:ascii="Arial" w:cs="Arial" w:eastAsia="Arial" w:hAnsi="Arial"/>
                <w:sz w:val="19"/>
                <w:szCs w:val="19"/>
                <w:color w:val="auto"/>
              </w:rPr>
              <w:t>16.91</w:t>
            </w:r>
          </w:p>
        </w:tc>
        <w:tc>
          <w:tcPr>
            <w:tcW w:w="28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line="215" w:lineRule="exact"/>
              <w:rPr>
                <w:sz w:val="20"/>
                <w:szCs w:val="20"/>
                <w:color w:val="auto"/>
              </w:rPr>
            </w:pPr>
            <w:r>
              <w:rPr>
                <w:rFonts w:ascii="Arial" w:cs="Arial" w:eastAsia="Arial" w:hAnsi="Arial"/>
                <w:sz w:val="19"/>
                <w:szCs w:val="19"/>
                <w:color w:val="auto"/>
              </w:rPr>
              <w:t>13.98</w:t>
            </w:r>
          </w:p>
        </w:tc>
        <w:tc>
          <w:tcPr>
            <w:tcW w:w="1120" w:type="dxa"/>
            <w:vAlign w:val="bottom"/>
            <w:gridSpan w:val="2"/>
            <w:shd w:val="clear" w:color="auto" w:fill="CCEEFF"/>
          </w:tcPr>
          <w:p>
            <w:pPr>
              <w:jc w:val="right"/>
              <w:ind w:right="245"/>
              <w:spacing w:after="0" w:line="215" w:lineRule="exact"/>
              <w:rPr>
                <w:sz w:val="20"/>
                <w:szCs w:val="20"/>
                <w:color w:val="auto"/>
              </w:rPr>
            </w:pPr>
            <w:r>
              <w:rPr>
                <w:rFonts w:ascii="Arial" w:cs="Arial" w:eastAsia="Arial" w:hAnsi="Arial"/>
                <w:sz w:val="19"/>
                <w:szCs w:val="19"/>
                <w:color w:val="auto"/>
                <w:w w:val="98"/>
              </w:rPr>
              <w:t>(14.86%)</w:t>
            </w:r>
          </w:p>
        </w:tc>
        <w:tc>
          <w:tcPr>
            <w:tcW w:w="1140" w:type="dxa"/>
            <w:vAlign w:val="bottom"/>
            <w:gridSpan w:val="2"/>
            <w:shd w:val="clear" w:color="auto" w:fill="CCEEFF"/>
          </w:tcPr>
          <w:p>
            <w:pPr>
              <w:jc w:val="right"/>
              <w:ind w:right="265"/>
              <w:spacing w:after="0" w:line="215" w:lineRule="exact"/>
              <w:rPr>
                <w:sz w:val="20"/>
                <w:szCs w:val="20"/>
                <w:color w:val="auto"/>
              </w:rPr>
            </w:pPr>
            <w:r>
              <w:rPr>
                <w:rFonts w:ascii="Arial" w:cs="Arial" w:eastAsia="Arial" w:hAnsi="Arial"/>
                <w:sz w:val="19"/>
                <w:szCs w:val="19"/>
                <w:color w:val="auto"/>
                <w:w w:val="98"/>
              </w:rPr>
              <w:t>(17.33%)</w:t>
            </w:r>
          </w:p>
        </w:tc>
        <w:tc>
          <w:tcPr>
            <w:tcW w:w="780" w:type="dxa"/>
            <w:vAlign w:val="bottom"/>
            <w:shd w:val="clear" w:color="auto" w:fill="CCEEFF"/>
          </w:tcPr>
          <w:p>
            <w:pPr>
              <w:jc w:val="center"/>
              <w:spacing w:after="0" w:line="215"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line="214" w:lineRule="exact"/>
              <w:rPr>
                <w:sz w:val="20"/>
                <w:szCs w:val="20"/>
                <w:color w:val="auto"/>
              </w:rPr>
            </w:pPr>
            <w:r>
              <w:rPr>
                <w:rFonts w:ascii="Arial" w:cs="Arial" w:eastAsia="Arial" w:hAnsi="Arial"/>
                <w:sz w:val="19"/>
                <w:szCs w:val="19"/>
                <w:color w:val="auto"/>
              </w:rPr>
              <w:t>8x8</w:t>
            </w:r>
          </w:p>
        </w:tc>
        <w:tc>
          <w:tcPr>
            <w:tcW w:w="21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color w:val="auto"/>
              </w:rPr>
              <w:t>20.86</w:t>
            </w:r>
          </w:p>
        </w:tc>
        <w:tc>
          <w:tcPr>
            <w:tcW w:w="360" w:type="dxa"/>
            <w:vAlign w:val="bottom"/>
          </w:tcPr>
          <w:p>
            <w:pPr>
              <w:spacing w:after="0"/>
              <w:rPr>
                <w:sz w:val="18"/>
                <w:szCs w:val="18"/>
                <w:color w:val="auto"/>
              </w:rPr>
            </w:pPr>
          </w:p>
        </w:tc>
        <w:tc>
          <w:tcPr>
            <w:tcW w:w="100" w:type="dxa"/>
            <w:vAlign w:val="bottom"/>
          </w:tcPr>
          <w:p>
            <w:pPr>
              <w:spacing w:after="0" w:line="214" w:lineRule="exact"/>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line="214" w:lineRule="exact"/>
              <w:rPr>
                <w:sz w:val="20"/>
                <w:szCs w:val="20"/>
                <w:color w:val="auto"/>
              </w:rPr>
            </w:pPr>
            <w:r>
              <w:rPr>
                <w:rFonts w:ascii="Arial" w:cs="Arial" w:eastAsia="Arial" w:hAnsi="Arial"/>
                <w:sz w:val="19"/>
                <w:szCs w:val="19"/>
                <w:color w:val="auto"/>
              </w:rPr>
              <w:t>17.61</w:t>
            </w:r>
          </w:p>
        </w:tc>
        <w:tc>
          <w:tcPr>
            <w:tcW w:w="28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rPr>
              <w:t>17.19</w:t>
            </w:r>
          </w:p>
        </w:tc>
        <w:tc>
          <w:tcPr>
            <w:tcW w:w="1120" w:type="dxa"/>
            <w:vAlign w:val="bottom"/>
            <w:gridSpan w:val="2"/>
          </w:tcPr>
          <w:p>
            <w:pPr>
              <w:jc w:val="right"/>
              <w:ind w:right="245"/>
              <w:spacing w:after="0" w:line="214" w:lineRule="exact"/>
              <w:rPr>
                <w:sz w:val="20"/>
                <w:szCs w:val="20"/>
                <w:color w:val="auto"/>
              </w:rPr>
            </w:pPr>
            <w:r>
              <w:rPr>
                <w:rFonts w:ascii="Arial" w:cs="Arial" w:eastAsia="Arial" w:hAnsi="Arial"/>
                <w:sz w:val="19"/>
                <w:szCs w:val="19"/>
                <w:color w:val="auto"/>
                <w:w w:val="98"/>
              </w:rPr>
              <w:t>(17.59%)</w:t>
            </w:r>
          </w:p>
        </w:tc>
        <w:tc>
          <w:tcPr>
            <w:tcW w:w="1140" w:type="dxa"/>
            <w:vAlign w:val="bottom"/>
            <w:gridSpan w:val="2"/>
          </w:tcPr>
          <w:p>
            <w:pPr>
              <w:jc w:val="right"/>
              <w:ind w:right="265"/>
              <w:spacing w:after="0" w:line="214" w:lineRule="exact"/>
              <w:rPr>
                <w:sz w:val="20"/>
                <w:szCs w:val="20"/>
                <w:color w:val="auto"/>
              </w:rPr>
            </w:pPr>
            <w:r>
              <w:rPr>
                <w:rFonts w:ascii="Arial" w:cs="Arial" w:eastAsia="Arial" w:hAnsi="Arial"/>
                <w:sz w:val="19"/>
                <w:szCs w:val="19"/>
                <w:color w:val="auto"/>
              </w:rPr>
              <w:t>(2.39%)</w:t>
            </w:r>
          </w:p>
        </w:tc>
        <w:tc>
          <w:tcPr>
            <w:tcW w:w="780" w:type="dxa"/>
            <w:vAlign w:val="bottom"/>
          </w:tcPr>
          <w:p>
            <w:pPr>
              <w:jc w:val="center"/>
              <w:spacing w:after="0" w:line="214"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spacing w:after="0" w:line="215" w:lineRule="exact"/>
              <w:rPr>
                <w:sz w:val="20"/>
                <w:szCs w:val="20"/>
                <w:color w:val="auto"/>
              </w:rPr>
            </w:pPr>
            <w:r>
              <w:rPr>
                <w:rFonts w:ascii="Arial" w:cs="Arial" w:eastAsia="Arial" w:hAnsi="Arial"/>
                <w:sz w:val="19"/>
                <w:szCs w:val="19"/>
                <w:color w:val="auto"/>
              </w:rPr>
              <w:t>LivePerson</w:t>
            </w:r>
          </w:p>
        </w:tc>
        <w:tc>
          <w:tcPr>
            <w:tcW w:w="212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29.60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line="215" w:lineRule="exact"/>
              <w:rPr>
                <w:sz w:val="20"/>
                <w:szCs w:val="20"/>
                <w:color w:val="auto"/>
              </w:rPr>
            </w:pPr>
            <w:r>
              <w:rPr>
                <w:rFonts w:ascii="Arial" w:cs="Arial" w:eastAsia="Arial" w:hAnsi="Arial"/>
                <w:sz w:val="19"/>
                <w:szCs w:val="19"/>
                <w:color w:val="auto"/>
              </w:rPr>
              <w:t>23.47</w:t>
            </w:r>
          </w:p>
        </w:tc>
        <w:tc>
          <w:tcPr>
            <w:tcW w:w="280" w:type="dxa"/>
            <w:vAlign w:val="bottom"/>
            <w:gridSpan w:val="2"/>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line="215" w:lineRule="exact"/>
              <w:rPr>
                <w:sz w:val="20"/>
                <w:szCs w:val="20"/>
                <w:color w:val="auto"/>
              </w:rPr>
            </w:pPr>
            <w:r>
              <w:rPr>
                <w:rFonts w:ascii="Arial" w:cs="Arial" w:eastAsia="Arial" w:hAnsi="Arial"/>
                <w:sz w:val="19"/>
                <w:szCs w:val="19"/>
                <w:color w:val="auto"/>
              </w:rPr>
              <w:t>22.60</w:t>
            </w:r>
          </w:p>
        </w:tc>
        <w:tc>
          <w:tcPr>
            <w:tcW w:w="1120" w:type="dxa"/>
            <w:vAlign w:val="bottom"/>
            <w:gridSpan w:val="2"/>
            <w:shd w:val="clear" w:color="auto" w:fill="CCEEFF"/>
          </w:tcPr>
          <w:p>
            <w:pPr>
              <w:jc w:val="right"/>
              <w:ind w:right="245"/>
              <w:spacing w:after="0" w:line="215" w:lineRule="exact"/>
              <w:rPr>
                <w:sz w:val="20"/>
                <w:szCs w:val="20"/>
                <w:color w:val="auto"/>
              </w:rPr>
            </w:pPr>
            <w:r>
              <w:rPr>
                <w:rFonts w:ascii="Arial" w:cs="Arial" w:eastAsia="Arial" w:hAnsi="Arial"/>
                <w:sz w:val="19"/>
                <w:szCs w:val="19"/>
                <w:color w:val="auto"/>
                <w:w w:val="98"/>
              </w:rPr>
              <w:t>(23.65%)</w:t>
            </w:r>
          </w:p>
        </w:tc>
        <w:tc>
          <w:tcPr>
            <w:tcW w:w="1140" w:type="dxa"/>
            <w:vAlign w:val="bottom"/>
            <w:gridSpan w:val="2"/>
            <w:shd w:val="clear" w:color="auto" w:fill="CCEEFF"/>
          </w:tcPr>
          <w:p>
            <w:pPr>
              <w:jc w:val="right"/>
              <w:ind w:right="265"/>
              <w:spacing w:after="0" w:line="215" w:lineRule="exact"/>
              <w:rPr>
                <w:sz w:val="20"/>
                <w:szCs w:val="20"/>
                <w:color w:val="auto"/>
              </w:rPr>
            </w:pPr>
            <w:r>
              <w:rPr>
                <w:rFonts w:ascii="Arial" w:cs="Arial" w:eastAsia="Arial" w:hAnsi="Arial"/>
                <w:sz w:val="19"/>
                <w:szCs w:val="19"/>
                <w:color w:val="auto"/>
              </w:rPr>
              <w:t>(3.71%)</w:t>
            </w:r>
          </w:p>
        </w:tc>
        <w:tc>
          <w:tcPr>
            <w:tcW w:w="780" w:type="dxa"/>
            <w:vAlign w:val="bottom"/>
            <w:shd w:val="clear" w:color="auto" w:fill="CCEEFF"/>
          </w:tcPr>
          <w:p>
            <w:pPr>
              <w:jc w:val="center"/>
              <w:spacing w:after="0" w:line="215"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2"/>
        </w:trPr>
        <w:tc>
          <w:tcPr>
            <w:tcW w:w="64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line="214" w:lineRule="exact"/>
              <w:rPr>
                <w:sz w:val="20"/>
                <w:szCs w:val="20"/>
                <w:color w:val="auto"/>
              </w:rPr>
            </w:pPr>
            <w:r>
              <w:rPr>
                <w:rFonts w:ascii="Arial" w:cs="Arial" w:eastAsia="Arial" w:hAnsi="Arial"/>
                <w:sz w:val="19"/>
                <w:szCs w:val="19"/>
                <w:color w:val="auto"/>
              </w:rPr>
              <w:t>Mitel Networks</w:t>
            </w:r>
          </w:p>
        </w:tc>
        <w:tc>
          <w:tcPr>
            <w:tcW w:w="2120" w:type="dxa"/>
            <w:vAlign w:val="bottom"/>
            <w:gridSpan w:val="2"/>
          </w:tcPr>
          <w:p>
            <w:pPr>
              <w:jc w:val="right"/>
              <w:spacing w:after="0" w:line="214" w:lineRule="exact"/>
              <w:rPr>
                <w:sz w:val="20"/>
                <w:szCs w:val="20"/>
                <w:color w:val="auto"/>
              </w:rPr>
            </w:pPr>
            <w:r>
              <w:rPr>
                <w:rFonts w:ascii="Arial" w:cs="Arial" w:eastAsia="Arial" w:hAnsi="Arial"/>
                <w:sz w:val="19"/>
                <w:szCs w:val="19"/>
                <w:color w:val="auto"/>
              </w:rPr>
              <w:t>$</w:t>
            </w:r>
          </w:p>
        </w:tc>
        <w:tc>
          <w:tcPr>
            <w:tcW w:w="500" w:type="dxa"/>
            <w:vAlign w:val="bottom"/>
          </w:tcPr>
          <w:p>
            <w:pPr>
              <w:jc w:val="right"/>
              <w:spacing w:after="0" w:line="214" w:lineRule="exact"/>
              <w:rPr>
                <w:sz w:val="20"/>
                <w:szCs w:val="20"/>
                <w:color w:val="auto"/>
              </w:rPr>
            </w:pPr>
            <w:r>
              <w:rPr>
                <w:rFonts w:ascii="Arial" w:cs="Arial" w:eastAsia="Arial" w:hAnsi="Arial"/>
                <w:sz w:val="19"/>
                <w:szCs w:val="19"/>
                <w:color w:val="auto"/>
              </w:rPr>
              <w:t>10.98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00"/>
              <w:spacing w:after="0" w:line="214" w:lineRule="exact"/>
              <w:rPr>
                <w:sz w:val="20"/>
                <w:szCs w:val="20"/>
                <w:color w:val="auto"/>
              </w:rPr>
            </w:pPr>
            <w:r>
              <w:rPr>
                <w:rFonts w:ascii="Arial" w:cs="Arial" w:eastAsia="Arial" w:hAnsi="Arial"/>
                <w:sz w:val="19"/>
                <w:szCs w:val="19"/>
                <w:color w:val="auto"/>
              </w:rPr>
              <w:t>N/A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line="214" w:lineRule="exact"/>
              <w:rPr>
                <w:sz w:val="20"/>
                <w:szCs w:val="20"/>
                <w:color w:val="auto"/>
              </w:rPr>
            </w:pPr>
            <w:r>
              <w:rPr>
                <w:rFonts w:ascii="Arial" w:cs="Arial" w:eastAsia="Arial" w:hAnsi="Arial"/>
                <w:sz w:val="19"/>
                <w:szCs w:val="19"/>
                <w:color w:val="auto"/>
              </w:rPr>
              <w:t>N/A</w:t>
            </w:r>
          </w:p>
        </w:tc>
        <w:tc>
          <w:tcPr>
            <w:tcW w:w="1120" w:type="dxa"/>
            <w:vAlign w:val="bottom"/>
            <w:gridSpan w:val="2"/>
          </w:tcPr>
          <w:p>
            <w:pPr>
              <w:jc w:val="right"/>
              <w:ind w:right="465"/>
              <w:spacing w:after="0" w:line="214" w:lineRule="exact"/>
              <w:rPr>
                <w:sz w:val="20"/>
                <w:szCs w:val="20"/>
                <w:color w:val="auto"/>
              </w:rPr>
            </w:pPr>
            <w:r>
              <w:rPr>
                <w:rFonts w:ascii="Arial" w:cs="Arial" w:eastAsia="Arial" w:hAnsi="Arial"/>
                <w:sz w:val="19"/>
                <w:szCs w:val="19"/>
                <w:color w:val="auto"/>
              </w:rPr>
              <w:t>N/A</w:t>
            </w:r>
          </w:p>
        </w:tc>
        <w:tc>
          <w:tcPr>
            <w:tcW w:w="1140" w:type="dxa"/>
            <w:vAlign w:val="bottom"/>
            <w:gridSpan w:val="2"/>
          </w:tcPr>
          <w:p>
            <w:pPr>
              <w:jc w:val="right"/>
              <w:ind w:right="485"/>
              <w:spacing w:after="0" w:line="214" w:lineRule="exact"/>
              <w:rPr>
                <w:sz w:val="20"/>
                <w:szCs w:val="20"/>
                <w:color w:val="auto"/>
              </w:rPr>
            </w:pPr>
            <w:r>
              <w:rPr>
                <w:rFonts w:ascii="Arial" w:cs="Arial" w:eastAsia="Arial" w:hAnsi="Arial"/>
                <w:sz w:val="19"/>
                <w:szCs w:val="19"/>
                <w:color w:val="auto"/>
              </w:rPr>
              <w:t>N/A</w:t>
            </w:r>
          </w:p>
        </w:tc>
        <w:tc>
          <w:tcPr>
            <w:tcW w:w="780" w:type="dxa"/>
            <w:vAlign w:val="bottom"/>
          </w:tcPr>
          <w:p>
            <w:pPr>
              <w:jc w:val="center"/>
              <w:spacing w:after="0" w:line="214" w:lineRule="exact"/>
              <w:rPr>
                <w:sz w:val="20"/>
                <w:szCs w:val="20"/>
                <w:color w:val="auto"/>
              </w:rPr>
            </w:pPr>
            <w:r>
              <w:rPr>
                <w:rFonts w:ascii="Arial" w:cs="Arial" w:eastAsia="Arial" w:hAnsi="Arial"/>
                <w:sz w:val="19"/>
                <w:szCs w:val="19"/>
                <w:color w:val="auto"/>
                <w:w w:val="94"/>
              </w:rPr>
              <w:t>Prior</w:t>
            </w: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valuations</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Atlassian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63.00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98.40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w w:val="85"/>
              </w:rPr>
              <w:t>115.50</w:t>
            </w:r>
          </w:p>
        </w:tc>
        <w:tc>
          <w:tcPr>
            <w:tcW w:w="1120" w:type="dxa"/>
            <w:vAlign w:val="bottom"/>
            <w:gridSpan w:val="2"/>
            <w:shd w:val="clear" w:color="auto" w:fill="CCEEFF"/>
          </w:tcPr>
          <w:p>
            <w:pPr>
              <w:jc w:val="right"/>
              <w:ind w:right="305"/>
              <w:spacing w:after="0"/>
              <w:rPr>
                <w:sz w:val="20"/>
                <w:szCs w:val="20"/>
                <w:color w:val="auto"/>
              </w:rPr>
            </w:pPr>
            <w:r>
              <w:rPr>
                <w:rFonts w:ascii="Arial" w:cs="Arial" w:eastAsia="Arial" w:hAnsi="Arial"/>
                <w:sz w:val="19"/>
                <w:szCs w:val="19"/>
                <w:color w:val="auto"/>
              </w:rPr>
              <w:t>83.33%</w:t>
            </w:r>
          </w:p>
        </w:tc>
        <w:tc>
          <w:tcPr>
            <w:tcW w:w="1140" w:type="dxa"/>
            <w:vAlign w:val="bottom"/>
            <w:gridSpan w:val="2"/>
            <w:shd w:val="clear" w:color="auto" w:fill="CCEEFF"/>
          </w:tcPr>
          <w:p>
            <w:pPr>
              <w:jc w:val="right"/>
              <w:ind w:right="325"/>
              <w:spacing w:after="0"/>
              <w:rPr>
                <w:sz w:val="20"/>
                <w:szCs w:val="20"/>
                <w:color w:val="auto"/>
              </w:rPr>
            </w:pPr>
            <w:r>
              <w:rPr>
                <w:rFonts w:ascii="Arial" w:cs="Arial" w:eastAsia="Arial" w:hAnsi="Arial"/>
                <w:sz w:val="19"/>
                <w:szCs w:val="19"/>
                <w:color w:val="auto"/>
              </w:rPr>
              <w:t>17.38%</w:t>
            </w: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Both</w:t>
            </w:r>
          </w:p>
        </w:tc>
        <w:tc>
          <w:tcPr>
            <w:tcW w:w="0" w:type="dxa"/>
            <w:vAlign w:val="bottom"/>
          </w:tcPr>
          <w:p>
            <w:pPr>
              <w:spacing w:after="0"/>
              <w:rPr>
                <w:sz w:val="1"/>
                <w:szCs w:val="1"/>
                <w:color w:val="auto"/>
              </w:rPr>
            </w:pPr>
          </w:p>
        </w:tc>
      </w:tr>
      <w:tr>
        <w:trPr>
          <w:trHeight w:val="228"/>
        </w:trPr>
        <w:tc>
          <w:tcPr>
            <w:tcW w:w="3180" w:type="dxa"/>
            <w:vAlign w:val="bottom"/>
            <w:gridSpan w:val="2"/>
          </w:tcPr>
          <w:p>
            <w:pPr>
              <w:spacing w:after="0"/>
              <w:rPr>
                <w:sz w:val="20"/>
                <w:szCs w:val="20"/>
                <w:color w:val="auto"/>
              </w:rPr>
            </w:pPr>
            <w:r>
              <w:rPr>
                <w:rFonts w:ascii="Arial" w:cs="Arial" w:eastAsia="Arial" w:hAnsi="Arial"/>
                <w:sz w:val="19"/>
                <w:szCs w:val="19"/>
                <w:color w:val="auto"/>
              </w:rPr>
              <w:t>Twilio</w:t>
            </w:r>
          </w:p>
        </w:tc>
        <w:tc>
          <w:tcPr>
            <w:tcW w:w="21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75.22</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rPr>
                <w:sz w:val="20"/>
                <w:szCs w:val="20"/>
                <w:color w:val="auto"/>
              </w:rPr>
            </w:pPr>
            <w:r>
              <w:rPr>
                <w:rFonts w:ascii="Arial" w:cs="Arial" w:eastAsia="Arial" w:hAnsi="Arial"/>
                <w:sz w:val="19"/>
                <w:szCs w:val="19"/>
                <w:color w:val="auto"/>
                <w:w w:val="85"/>
              </w:rPr>
              <w:t>111.32</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9"/>
                <w:szCs w:val="19"/>
                <w:color w:val="auto"/>
                <w:w w:val="85"/>
              </w:rPr>
              <w:t>135.66</w:t>
            </w:r>
          </w:p>
        </w:tc>
        <w:tc>
          <w:tcPr>
            <w:tcW w:w="1120" w:type="dxa"/>
            <w:vAlign w:val="bottom"/>
            <w:gridSpan w:val="2"/>
          </w:tcPr>
          <w:p>
            <w:pPr>
              <w:jc w:val="right"/>
              <w:ind w:right="305"/>
              <w:spacing w:after="0"/>
              <w:rPr>
                <w:sz w:val="20"/>
                <w:szCs w:val="20"/>
                <w:color w:val="auto"/>
              </w:rPr>
            </w:pPr>
            <w:r>
              <w:rPr>
                <w:rFonts w:ascii="Arial" w:cs="Arial" w:eastAsia="Arial" w:hAnsi="Arial"/>
                <w:sz w:val="19"/>
                <w:szCs w:val="19"/>
                <w:color w:val="auto"/>
              </w:rPr>
              <w:t>80.35%</w:t>
            </w:r>
          </w:p>
        </w:tc>
        <w:tc>
          <w:tcPr>
            <w:tcW w:w="1140" w:type="dxa"/>
            <w:vAlign w:val="bottom"/>
            <w:gridSpan w:val="2"/>
          </w:tcPr>
          <w:p>
            <w:pPr>
              <w:jc w:val="right"/>
              <w:ind w:right="325"/>
              <w:spacing w:after="0"/>
              <w:rPr>
                <w:sz w:val="20"/>
                <w:szCs w:val="20"/>
                <w:color w:val="auto"/>
              </w:rPr>
            </w:pPr>
            <w:r>
              <w:rPr>
                <w:rFonts w:ascii="Arial" w:cs="Arial" w:eastAsia="Arial" w:hAnsi="Arial"/>
                <w:sz w:val="19"/>
                <w:szCs w:val="19"/>
                <w:color w:val="auto"/>
              </w:rPr>
              <w:t>21.86%</w:t>
            </w: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Both</w:t>
            </w: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DocuSign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41.94</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49.45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57.08</w:t>
            </w:r>
          </w:p>
        </w:tc>
        <w:tc>
          <w:tcPr>
            <w:tcW w:w="1120" w:type="dxa"/>
            <w:vAlign w:val="bottom"/>
            <w:gridSpan w:val="2"/>
            <w:shd w:val="clear" w:color="auto" w:fill="CCEEFF"/>
          </w:tcPr>
          <w:p>
            <w:pPr>
              <w:jc w:val="right"/>
              <w:ind w:right="305"/>
              <w:spacing w:after="0"/>
              <w:rPr>
                <w:sz w:val="20"/>
                <w:szCs w:val="20"/>
                <w:color w:val="auto"/>
              </w:rPr>
            </w:pPr>
            <w:r>
              <w:rPr>
                <w:rFonts w:ascii="Arial" w:cs="Arial" w:eastAsia="Arial" w:hAnsi="Arial"/>
                <w:sz w:val="19"/>
                <w:szCs w:val="19"/>
                <w:color w:val="auto"/>
              </w:rPr>
              <w:t>36.10%</w:t>
            </w:r>
          </w:p>
        </w:tc>
        <w:tc>
          <w:tcPr>
            <w:tcW w:w="1140" w:type="dxa"/>
            <w:vAlign w:val="bottom"/>
            <w:gridSpan w:val="2"/>
            <w:shd w:val="clear" w:color="auto" w:fill="CCEEFF"/>
          </w:tcPr>
          <w:p>
            <w:pPr>
              <w:jc w:val="right"/>
              <w:ind w:right="325"/>
              <w:spacing w:after="0"/>
              <w:rPr>
                <w:sz w:val="20"/>
                <w:szCs w:val="20"/>
                <w:color w:val="auto"/>
              </w:rPr>
            </w:pPr>
            <w:r>
              <w:rPr>
                <w:rFonts w:ascii="Arial" w:cs="Arial" w:eastAsia="Arial" w:hAnsi="Arial"/>
                <w:sz w:val="19"/>
                <w:szCs w:val="19"/>
                <w:color w:val="auto"/>
              </w:rPr>
              <w:t>15.43%</w:t>
            </w: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Both</w:t>
            </w:r>
          </w:p>
        </w:tc>
        <w:tc>
          <w:tcPr>
            <w:tcW w:w="0" w:type="dxa"/>
            <w:vAlign w:val="bottom"/>
          </w:tcPr>
          <w:p>
            <w:pPr>
              <w:spacing w:after="0"/>
              <w:rPr>
                <w:sz w:val="1"/>
                <w:szCs w:val="1"/>
                <w:color w:val="auto"/>
              </w:rPr>
            </w:pPr>
          </w:p>
        </w:tc>
      </w:tr>
      <w:tr>
        <w:trPr>
          <w:trHeight w:val="228"/>
        </w:trPr>
        <w:tc>
          <w:tcPr>
            <w:tcW w:w="3180" w:type="dxa"/>
            <w:vAlign w:val="bottom"/>
            <w:gridSpan w:val="2"/>
          </w:tcPr>
          <w:p>
            <w:pPr>
              <w:spacing w:after="0"/>
              <w:rPr>
                <w:sz w:val="20"/>
                <w:szCs w:val="20"/>
                <w:color w:val="auto"/>
              </w:rPr>
            </w:pPr>
            <w:r>
              <w:rPr>
                <w:rFonts w:ascii="Arial" w:cs="Arial" w:eastAsia="Arial" w:hAnsi="Arial"/>
                <w:sz w:val="19"/>
                <w:szCs w:val="19"/>
                <w:color w:val="auto"/>
              </w:rPr>
              <w:t>Okta</w:t>
            </w:r>
          </w:p>
        </w:tc>
        <w:tc>
          <w:tcPr>
            <w:tcW w:w="21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58.36</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9"/>
                <w:szCs w:val="19"/>
                <w:color w:val="auto"/>
                <w:w w:val="75"/>
              </w:rPr>
              <w:t>$</w:t>
            </w:r>
          </w:p>
        </w:tc>
        <w:tc>
          <w:tcPr>
            <w:tcW w:w="700" w:type="dxa"/>
            <w:vAlign w:val="bottom"/>
            <w:gridSpan w:val="2"/>
          </w:tcPr>
          <w:p>
            <w:pPr>
              <w:jc w:val="right"/>
              <w:ind w:right="180"/>
              <w:spacing w:after="0"/>
              <w:rPr>
                <w:sz w:val="20"/>
                <w:szCs w:val="20"/>
                <w:color w:val="auto"/>
              </w:rPr>
            </w:pPr>
            <w:r>
              <w:rPr>
                <w:rFonts w:ascii="Arial" w:cs="Arial" w:eastAsia="Arial" w:hAnsi="Arial"/>
                <w:sz w:val="19"/>
                <w:szCs w:val="19"/>
                <w:color w:val="auto"/>
              </w:rPr>
              <w:t>82.43</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9"/>
                <w:szCs w:val="19"/>
                <w:color w:val="auto"/>
              </w:rPr>
              <w:t>85.47</w:t>
            </w:r>
          </w:p>
        </w:tc>
        <w:tc>
          <w:tcPr>
            <w:tcW w:w="1120" w:type="dxa"/>
            <w:vAlign w:val="bottom"/>
            <w:gridSpan w:val="2"/>
          </w:tcPr>
          <w:p>
            <w:pPr>
              <w:jc w:val="right"/>
              <w:ind w:right="305"/>
              <w:spacing w:after="0"/>
              <w:rPr>
                <w:sz w:val="20"/>
                <w:szCs w:val="20"/>
                <w:color w:val="auto"/>
              </w:rPr>
            </w:pPr>
            <w:r>
              <w:rPr>
                <w:rFonts w:ascii="Arial" w:cs="Arial" w:eastAsia="Arial" w:hAnsi="Arial"/>
                <w:sz w:val="19"/>
                <w:szCs w:val="19"/>
                <w:color w:val="auto"/>
              </w:rPr>
              <w:t>46.45%</w:t>
            </w:r>
          </w:p>
        </w:tc>
        <w:tc>
          <w:tcPr>
            <w:tcW w:w="1140" w:type="dxa"/>
            <w:vAlign w:val="bottom"/>
            <w:gridSpan w:val="2"/>
          </w:tcPr>
          <w:p>
            <w:pPr>
              <w:jc w:val="right"/>
              <w:ind w:right="325"/>
              <w:spacing w:after="0"/>
              <w:rPr>
                <w:sz w:val="20"/>
                <w:szCs w:val="20"/>
                <w:color w:val="auto"/>
              </w:rPr>
            </w:pPr>
            <w:r>
              <w:rPr>
                <w:rFonts w:ascii="Arial" w:cs="Arial" w:eastAsia="Arial" w:hAnsi="Arial"/>
                <w:sz w:val="19"/>
                <w:szCs w:val="19"/>
                <w:color w:val="auto"/>
              </w:rPr>
              <w:t>3.69%</w:t>
            </w:r>
          </w:p>
        </w:tc>
        <w:tc>
          <w:tcPr>
            <w:tcW w:w="780" w:type="dxa"/>
            <w:vAlign w:val="bottom"/>
          </w:tcPr>
          <w:p>
            <w:pPr>
              <w:jc w:val="center"/>
              <w:spacing w:after="0"/>
              <w:rPr>
                <w:sz w:val="20"/>
                <w:szCs w:val="20"/>
                <w:color w:val="auto"/>
              </w:rPr>
            </w:pPr>
            <w:r>
              <w:rPr>
                <w:rFonts w:ascii="Arial" w:cs="Arial" w:eastAsia="Arial" w:hAnsi="Arial"/>
                <w:sz w:val="19"/>
                <w:szCs w:val="19"/>
                <w:color w:val="auto"/>
                <w:w w:val="91"/>
              </w:rPr>
              <w:t>Both</w:t>
            </w:r>
          </w:p>
        </w:tc>
        <w:tc>
          <w:tcPr>
            <w:tcW w:w="0" w:type="dxa"/>
            <w:vAlign w:val="bottom"/>
          </w:tcPr>
          <w:p>
            <w:pPr>
              <w:spacing w:after="0"/>
              <w:rPr>
                <w:sz w:val="1"/>
                <w:szCs w:val="1"/>
                <w:color w:val="auto"/>
              </w:rPr>
            </w:pPr>
          </w:p>
        </w:tc>
      </w:tr>
      <w:tr>
        <w:trPr>
          <w:trHeight w:val="228"/>
        </w:trPr>
        <w:tc>
          <w:tcPr>
            <w:tcW w:w="318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Elastic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68.00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9"/>
                <w:szCs w:val="19"/>
                <w:color w:val="auto"/>
                <w:w w:val="75"/>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9"/>
                <w:szCs w:val="19"/>
                <w:color w:val="auto"/>
              </w:rPr>
              <w:t>85.00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9"/>
                <w:szCs w:val="19"/>
                <w:color w:val="auto"/>
              </w:rPr>
              <w:t>90.91</w:t>
            </w:r>
          </w:p>
        </w:tc>
        <w:tc>
          <w:tcPr>
            <w:tcW w:w="1120" w:type="dxa"/>
            <w:vAlign w:val="bottom"/>
            <w:gridSpan w:val="2"/>
            <w:shd w:val="clear" w:color="auto" w:fill="CCEEFF"/>
          </w:tcPr>
          <w:p>
            <w:pPr>
              <w:jc w:val="right"/>
              <w:ind w:right="305"/>
              <w:spacing w:after="0"/>
              <w:rPr>
                <w:sz w:val="20"/>
                <w:szCs w:val="20"/>
                <w:color w:val="auto"/>
              </w:rPr>
            </w:pPr>
            <w:r>
              <w:rPr>
                <w:rFonts w:ascii="Arial" w:cs="Arial" w:eastAsia="Arial" w:hAnsi="Arial"/>
                <w:sz w:val="19"/>
                <w:szCs w:val="19"/>
                <w:color w:val="auto"/>
              </w:rPr>
              <w:t>33.69%</w:t>
            </w:r>
          </w:p>
        </w:tc>
        <w:tc>
          <w:tcPr>
            <w:tcW w:w="1140" w:type="dxa"/>
            <w:vAlign w:val="bottom"/>
            <w:gridSpan w:val="2"/>
            <w:shd w:val="clear" w:color="auto" w:fill="CCEEFF"/>
          </w:tcPr>
          <w:p>
            <w:pPr>
              <w:jc w:val="right"/>
              <w:ind w:right="325"/>
              <w:spacing w:after="0"/>
              <w:rPr>
                <w:sz w:val="20"/>
                <w:szCs w:val="20"/>
                <w:color w:val="auto"/>
              </w:rPr>
            </w:pPr>
            <w:r>
              <w:rPr>
                <w:rFonts w:ascii="Arial" w:cs="Arial" w:eastAsia="Arial" w:hAnsi="Arial"/>
                <w:sz w:val="19"/>
                <w:szCs w:val="19"/>
                <w:color w:val="auto"/>
              </w:rPr>
              <w:t>6.95%</w:t>
            </w:r>
          </w:p>
        </w:tc>
        <w:tc>
          <w:tcPr>
            <w:tcW w:w="7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Both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p>
      <w:pPr>
        <w:sectPr>
          <w:pgSz w:w="12240" w:h="15840" w:orient="portrait"/>
          <w:cols w:equalWidth="0" w:num="1">
            <w:col w:w="11640"/>
          </w:cols>
          <w:pgMar w:left="300" w:top="136" w:right="30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22375" cy="398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April 1,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5</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8"/>
        </w:trPr>
        <w:tc>
          <w:tcPr>
            <w:tcW w:w="3140" w:type="dxa"/>
            <w:vAlign w:val="bottom"/>
            <w:shd w:val="clear" w:color="auto" w:fill="CCEEFF"/>
          </w:tcPr>
          <w:p>
            <w:pPr>
              <w:spacing w:after="0"/>
              <w:rPr>
                <w:sz w:val="20"/>
                <w:szCs w:val="20"/>
                <w:color w:val="auto"/>
              </w:rPr>
            </w:pPr>
            <w:r>
              <w:rPr>
                <w:rFonts w:ascii="Arial" w:cs="Arial" w:eastAsia="Arial" w:hAnsi="Arial"/>
                <w:sz w:val="19"/>
                <w:szCs w:val="19"/>
                <w:color w:val="auto"/>
              </w:rPr>
              <w:t>Workday</w:t>
            </w:r>
          </w:p>
        </w:tc>
        <w:tc>
          <w:tcPr>
            <w:tcW w:w="23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w w:val="89"/>
              </w:rPr>
              <w:t>133.02</w:t>
            </w:r>
          </w:p>
        </w:tc>
        <w:tc>
          <w:tcPr>
            <w:tcW w:w="2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9"/>
                <w:szCs w:val="19"/>
                <w:color w:val="auto"/>
                <w:w w:val="89"/>
              </w:rPr>
              <w:t>181.53</w:t>
            </w:r>
          </w:p>
        </w:tc>
        <w:tc>
          <w:tcPr>
            <w:tcW w:w="3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ind w:right="125"/>
              <w:spacing w:after="0"/>
              <w:rPr>
                <w:sz w:val="20"/>
                <w:szCs w:val="20"/>
                <w:color w:val="auto"/>
              </w:rPr>
            </w:pPr>
            <w:r>
              <w:rPr>
                <w:rFonts w:ascii="Arial" w:cs="Arial" w:eastAsia="Arial" w:hAnsi="Arial"/>
                <w:sz w:val="19"/>
                <w:szCs w:val="19"/>
                <w:color w:val="auto"/>
                <w:w w:val="85"/>
              </w:rPr>
              <w:t>197.58</w:t>
            </w:r>
          </w:p>
        </w:tc>
        <w:tc>
          <w:tcPr>
            <w:tcW w:w="102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48.53%</w:t>
            </w:r>
          </w:p>
        </w:tc>
        <w:tc>
          <w:tcPr>
            <w:tcW w:w="1000" w:type="dxa"/>
            <w:vAlign w:val="bottom"/>
            <w:shd w:val="clear" w:color="auto" w:fill="CCEEFF"/>
          </w:tcPr>
          <w:p>
            <w:pPr>
              <w:jc w:val="right"/>
              <w:ind w:right="105"/>
              <w:spacing w:after="0"/>
              <w:rPr>
                <w:sz w:val="20"/>
                <w:szCs w:val="20"/>
                <w:color w:val="auto"/>
              </w:rPr>
            </w:pPr>
            <w:r>
              <w:rPr>
                <w:rFonts w:ascii="Arial" w:cs="Arial" w:eastAsia="Arial" w:hAnsi="Arial"/>
                <w:sz w:val="19"/>
                <w:szCs w:val="19"/>
                <w:color w:val="auto"/>
              </w:rPr>
              <w:t>8.84%</w:t>
            </w:r>
          </w:p>
        </w:tc>
        <w:tc>
          <w:tcPr>
            <w:tcW w:w="920" w:type="dxa"/>
            <w:vAlign w:val="bottom"/>
            <w:shd w:val="clear" w:color="auto" w:fill="CCEEFF"/>
          </w:tcPr>
          <w:p>
            <w:pPr>
              <w:jc w:val="center"/>
              <w:ind w:left="85"/>
              <w:spacing w:after="0"/>
              <w:rPr>
                <w:sz w:val="20"/>
                <w:szCs w:val="20"/>
                <w:color w:val="auto"/>
              </w:rPr>
            </w:pPr>
            <w:r>
              <w:rPr>
                <w:rFonts w:ascii="Arial" w:cs="Arial" w:eastAsia="Arial" w:hAnsi="Arial"/>
                <w:sz w:val="19"/>
                <w:szCs w:val="19"/>
                <w:color w:val="auto"/>
                <w:w w:val="93"/>
              </w:rPr>
              <w:t>IPO price</w:t>
            </w:r>
          </w:p>
        </w:tc>
      </w:tr>
      <w:tr>
        <w:trPr>
          <w:trHeight w:val="242"/>
        </w:trPr>
        <w:tc>
          <w:tcPr>
            <w:tcW w:w="31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85"/>
              <w:spacing w:after="0"/>
              <w:rPr>
                <w:sz w:val="20"/>
                <w:szCs w:val="20"/>
                <w:color w:val="auto"/>
              </w:rPr>
            </w:pPr>
            <w:r>
              <w:rPr>
                <w:rFonts w:ascii="Arial" w:cs="Arial" w:eastAsia="Arial" w:hAnsi="Arial"/>
                <w:sz w:val="19"/>
                <w:szCs w:val="19"/>
                <w:color w:val="auto"/>
                <w:w w:val="86"/>
              </w:rPr>
              <w:t>range</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9"/>
                <w:szCs w:val="19"/>
                <w:color w:val="auto"/>
              </w:rPr>
              <w:t>ServiceNow</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w w:val="89"/>
              </w:rPr>
              <w:t>164.24</w:t>
            </w:r>
          </w:p>
        </w:tc>
        <w:tc>
          <w:tcPr>
            <w:tcW w:w="28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w w:val="89"/>
              </w:rPr>
              <w:t>220.02</w:t>
            </w:r>
          </w:p>
        </w:tc>
        <w:tc>
          <w:tcPr>
            <w:tcW w:w="30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40" w:type="dxa"/>
            <w:vAlign w:val="bottom"/>
          </w:tcPr>
          <w:p>
            <w:pPr>
              <w:jc w:val="right"/>
              <w:ind w:right="125"/>
              <w:spacing w:after="0" w:line="214" w:lineRule="exact"/>
              <w:rPr>
                <w:sz w:val="20"/>
                <w:szCs w:val="20"/>
                <w:color w:val="auto"/>
              </w:rPr>
            </w:pPr>
            <w:r>
              <w:rPr>
                <w:rFonts w:ascii="Arial" w:cs="Arial" w:eastAsia="Arial" w:hAnsi="Arial"/>
                <w:sz w:val="19"/>
                <w:szCs w:val="19"/>
                <w:color w:val="auto"/>
                <w:w w:val="85"/>
              </w:rPr>
              <w:t>250.95</w:t>
            </w:r>
          </w:p>
        </w:tc>
        <w:tc>
          <w:tcPr>
            <w:tcW w:w="102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52.79%</w:t>
            </w:r>
          </w:p>
        </w:tc>
        <w:tc>
          <w:tcPr>
            <w:tcW w:w="100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14.06%</w:t>
            </w:r>
          </w:p>
        </w:tc>
        <w:tc>
          <w:tcPr>
            <w:tcW w:w="920" w:type="dxa"/>
            <w:vAlign w:val="bottom"/>
          </w:tcPr>
          <w:p>
            <w:pPr>
              <w:jc w:val="center"/>
              <w:ind w:left="85"/>
              <w:spacing w:after="0" w:line="214" w:lineRule="exact"/>
              <w:rPr>
                <w:sz w:val="20"/>
                <w:szCs w:val="20"/>
                <w:color w:val="auto"/>
              </w:rPr>
            </w:pPr>
            <w:r>
              <w:rPr>
                <w:rFonts w:ascii="Arial" w:cs="Arial" w:eastAsia="Arial" w:hAnsi="Arial"/>
                <w:sz w:val="19"/>
                <w:szCs w:val="19"/>
                <w:color w:val="auto"/>
                <w:w w:val="93"/>
              </w:rPr>
              <w:t>IPO price</w:t>
            </w:r>
          </w:p>
        </w:tc>
      </w:tr>
      <w:tr>
        <w:trPr>
          <w:trHeight w:val="241"/>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jc w:val="center"/>
              <w:ind w:left="85"/>
              <w:spacing w:after="0"/>
              <w:rPr>
                <w:sz w:val="20"/>
                <w:szCs w:val="20"/>
                <w:color w:val="auto"/>
              </w:rPr>
            </w:pPr>
            <w:r>
              <w:rPr>
                <w:rFonts w:ascii="Arial" w:cs="Arial" w:eastAsia="Arial" w:hAnsi="Arial"/>
                <w:sz w:val="19"/>
                <w:szCs w:val="19"/>
                <w:color w:val="auto"/>
                <w:w w:val="86"/>
              </w:rPr>
              <w:t>range</w:t>
            </w:r>
          </w:p>
        </w:tc>
      </w:tr>
      <w:tr>
        <w:trPr>
          <w:trHeight w:val="215"/>
        </w:trPr>
        <w:tc>
          <w:tcPr>
            <w:tcW w:w="314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rPr>
              <w:t>Shopify</w:t>
            </w:r>
          </w:p>
        </w:tc>
        <w:tc>
          <w:tcPr>
            <w:tcW w:w="232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line="215" w:lineRule="exact"/>
              <w:rPr>
                <w:sz w:val="20"/>
                <w:szCs w:val="20"/>
                <w:color w:val="auto"/>
              </w:rPr>
            </w:pPr>
            <w:r>
              <w:rPr>
                <w:rFonts w:ascii="Arial" w:cs="Arial" w:eastAsia="Arial" w:hAnsi="Arial"/>
                <w:sz w:val="19"/>
                <w:szCs w:val="19"/>
                <w:color w:val="auto"/>
                <w:w w:val="89"/>
              </w:rPr>
              <w:t>138.15</w:t>
            </w:r>
          </w:p>
        </w:tc>
        <w:tc>
          <w:tcPr>
            <w:tcW w:w="28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line="215" w:lineRule="exact"/>
              <w:rPr>
                <w:sz w:val="20"/>
                <w:szCs w:val="20"/>
                <w:color w:val="auto"/>
              </w:rPr>
            </w:pPr>
            <w:r>
              <w:rPr>
                <w:rFonts w:ascii="Arial" w:cs="Arial" w:eastAsia="Arial" w:hAnsi="Arial"/>
                <w:sz w:val="19"/>
                <w:szCs w:val="19"/>
                <w:color w:val="auto"/>
                <w:w w:val="89"/>
              </w:rPr>
              <w:t>168.48</w:t>
            </w:r>
          </w:p>
        </w:tc>
        <w:tc>
          <w:tcPr>
            <w:tcW w:w="3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ind w:right="125"/>
              <w:spacing w:after="0" w:line="215" w:lineRule="exact"/>
              <w:rPr>
                <w:sz w:val="20"/>
                <w:szCs w:val="20"/>
                <w:color w:val="auto"/>
              </w:rPr>
            </w:pPr>
            <w:r>
              <w:rPr>
                <w:rFonts w:ascii="Arial" w:cs="Arial" w:eastAsia="Arial" w:hAnsi="Arial"/>
                <w:sz w:val="19"/>
                <w:szCs w:val="19"/>
                <w:color w:val="auto"/>
                <w:w w:val="85"/>
              </w:rPr>
              <w:t>205.00</w:t>
            </w:r>
          </w:p>
        </w:tc>
        <w:tc>
          <w:tcPr>
            <w:tcW w:w="1020" w:type="dxa"/>
            <w:vAlign w:val="bottom"/>
            <w:shd w:val="clear" w:color="auto" w:fill="CCEEFF"/>
          </w:tcPr>
          <w:p>
            <w:pPr>
              <w:jc w:val="right"/>
              <w:ind w:right="105"/>
              <w:spacing w:after="0" w:line="215" w:lineRule="exact"/>
              <w:rPr>
                <w:sz w:val="20"/>
                <w:szCs w:val="20"/>
                <w:color w:val="auto"/>
              </w:rPr>
            </w:pPr>
            <w:r>
              <w:rPr>
                <w:rFonts w:ascii="Arial" w:cs="Arial" w:eastAsia="Arial" w:hAnsi="Arial"/>
                <w:sz w:val="19"/>
                <w:szCs w:val="19"/>
                <w:color w:val="auto"/>
              </w:rPr>
              <w:t>48.39%</w:t>
            </w:r>
          </w:p>
        </w:tc>
        <w:tc>
          <w:tcPr>
            <w:tcW w:w="1000" w:type="dxa"/>
            <w:vAlign w:val="bottom"/>
            <w:shd w:val="clear" w:color="auto" w:fill="CCEEFF"/>
          </w:tcPr>
          <w:p>
            <w:pPr>
              <w:jc w:val="right"/>
              <w:ind w:right="105"/>
              <w:spacing w:after="0" w:line="215" w:lineRule="exact"/>
              <w:rPr>
                <w:sz w:val="20"/>
                <w:szCs w:val="20"/>
                <w:color w:val="auto"/>
              </w:rPr>
            </w:pPr>
            <w:r>
              <w:rPr>
                <w:rFonts w:ascii="Arial" w:cs="Arial" w:eastAsia="Arial" w:hAnsi="Arial"/>
                <w:sz w:val="19"/>
                <w:szCs w:val="19"/>
                <w:color w:val="auto"/>
              </w:rPr>
              <w:t>21.68%</w:t>
            </w:r>
          </w:p>
        </w:tc>
        <w:tc>
          <w:tcPr>
            <w:tcW w:w="920" w:type="dxa"/>
            <w:vAlign w:val="bottom"/>
            <w:shd w:val="clear" w:color="auto" w:fill="CCEEFF"/>
          </w:tcPr>
          <w:p>
            <w:pPr>
              <w:jc w:val="center"/>
              <w:ind w:left="85"/>
              <w:spacing w:after="0" w:line="215" w:lineRule="exact"/>
              <w:rPr>
                <w:sz w:val="20"/>
                <w:szCs w:val="20"/>
                <w:color w:val="auto"/>
              </w:rPr>
            </w:pPr>
            <w:r>
              <w:rPr>
                <w:rFonts w:ascii="Arial" w:cs="Arial" w:eastAsia="Arial" w:hAnsi="Arial"/>
                <w:sz w:val="19"/>
                <w:szCs w:val="19"/>
                <w:color w:val="auto"/>
                <w:w w:val="93"/>
              </w:rPr>
              <w:t>IPO price</w:t>
            </w:r>
          </w:p>
        </w:tc>
      </w:tr>
      <w:tr>
        <w:trPr>
          <w:trHeight w:val="242"/>
        </w:trPr>
        <w:tc>
          <w:tcPr>
            <w:tcW w:w="31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85"/>
              <w:spacing w:after="0"/>
              <w:rPr>
                <w:sz w:val="20"/>
                <w:szCs w:val="20"/>
                <w:color w:val="auto"/>
              </w:rPr>
            </w:pPr>
            <w:r>
              <w:rPr>
                <w:rFonts w:ascii="Arial" w:cs="Arial" w:eastAsia="Arial" w:hAnsi="Arial"/>
                <w:sz w:val="19"/>
                <w:szCs w:val="19"/>
                <w:color w:val="auto"/>
                <w:w w:val="86"/>
              </w:rPr>
              <w:t>range</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9"/>
                <w:szCs w:val="19"/>
                <w:color w:val="auto"/>
              </w:rPr>
              <w:t>Smartsheet</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rPr>
              <w:t>23.66</w:t>
            </w:r>
          </w:p>
        </w:tc>
        <w:tc>
          <w:tcPr>
            <w:tcW w:w="28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rPr>
              <w:t>31.38</w:t>
            </w:r>
          </w:p>
        </w:tc>
        <w:tc>
          <w:tcPr>
            <w:tcW w:w="30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40" w:type="dxa"/>
            <w:vAlign w:val="bottom"/>
          </w:tcPr>
          <w:p>
            <w:pPr>
              <w:jc w:val="right"/>
              <w:ind w:right="125"/>
              <w:spacing w:after="0" w:line="214" w:lineRule="exact"/>
              <w:rPr>
                <w:sz w:val="20"/>
                <w:szCs w:val="20"/>
                <w:color w:val="auto"/>
              </w:rPr>
            </w:pPr>
            <w:r>
              <w:rPr>
                <w:rFonts w:ascii="Arial" w:cs="Arial" w:eastAsia="Arial" w:hAnsi="Arial"/>
                <w:sz w:val="19"/>
                <w:szCs w:val="19"/>
                <w:color w:val="auto"/>
              </w:rPr>
              <w:t>45.66</w:t>
            </w:r>
          </w:p>
        </w:tc>
        <w:tc>
          <w:tcPr>
            <w:tcW w:w="102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92.98%</w:t>
            </w:r>
          </w:p>
        </w:tc>
        <w:tc>
          <w:tcPr>
            <w:tcW w:w="100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45.51%</w:t>
            </w:r>
          </w:p>
        </w:tc>
        <w:tc>
          <w:tcPr>
            <w:tcW w:w="920" w:type="dxa"/>
            <w:vAlign w:val="bottom"/>
          </w:tcPr>
          <w:p>
            <w:pPr>
              <w:jc w:val="center"/>
              <w:ind w:left="85"/>
              <w:spacing w:after="0" w:line="214" w:lineRule="exact"/>
              <w:rPr>
                <w:sz w:val="20"/>
                <w:szCs w:val="20"/>
                <w:color w:val="auto"/>
              </w:rPr>
            </w:pPr>
            <w:r>
              <w:rPr>
                <w:rFonts w:ascii="Arial" w:cs="Arial" w:eastAsia="Arial" w:hAnsi="Arial"/>
                <w:sz w:val="19"/>
                <w:szCs w:val="19"/>
                <w:color w:val="auto"/>
                <w:w w:val="93"/>
              </w:rPr>
              <w:t>IPO price</w:t>
            </w:r>
          </w:p>
        </w:tc>
      </w:tr>
      <w:tr>
        <w:trPr>
          <w:trHeight w:val="241"/>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jc w:val="center"/>
              <w:ind w:left="85"/>
              <w:spacing w:after="0"/>
              <w:rPr>
                <w:sz w:val="20"/>
                <w:szCs w:val="20"/>
                <w:color w:val="auto"/>
              </w:rPr>
            </w:pPr>
            <w:r>
              <w:rPr>
                <w:rFonts w:ascii="Arial" w:cs="Arial" w:eastAsia="Arial" w:hAnsi="Arial"/>
                <w:sz w:val="19"/>
                <w:szCs w:val="19"/>
                <w:color w:val="auto"/>
                <w:w w:val="86"/>
              </w:rPr>
              <w:t>range</w:t>
            </w:r>
          </w:p>
        </w:tc>
      </w:tr>
      <w:tr>
        <w:trPr>
          <w:trHeight w:val="215"/>
        </w:trPr>
        <w:tc>
          <w:tcPr>
            <w:tcW w:w="3140" w:type="dxa"/>
            <w:vAlign w:val="bottom"/>
            <w:shd w:val="clear" w:color="auto" w:fill="CCEEFF"/>
          </w:tcPr>
          <w:p>
            <w:pPr>
              <w:spacing w:after="0" w:line="215" w:lineRule="exact"/>
              <w:rPr>
                <w:sz w:val="20"/>
                <w:szCs w:val="20"/>
                <w:color w:val="auto"/>
              </w:rPr>
            </w:pPr>
            <w:r>
              <w:rPr>
                <w:rFonts w:ascii="Arial" w:cs="Arial" w:eastAsia="Arial" w:hAnsi="Arial"/>
                <w:sz w:val="19"/>
                <w:szCs w:val="19"/>
                <w:color w:val="auto"/>
              </w:rPr>
              <w:t>MongoDB</w:t>
            </w:r>
          </w:p>
        </w:tc>
        <w:tc>
          <w:tcPr>
            <w:tcW w:w="232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line="215" w:lineRule="exact"/>
              <w:rPr>
                <w:sz w:val="20"/>
                <w:szCs w:val="20"/>
                <w:color w:val="auto"/>
              </w:rPr>
            </w:pPr>
            <w:r>
              <w:rPr>
                <w:rFonts w:ascii="Arial" w:cs="Arial" w:eastAsia="Arial" w:hAnsi="Arial"/>
                <w:sz w:val="19"/>
                <w:szCs w:val="19"/>
                <w:color w:val="auto"/>
              </w:rPr>
              <w:t>81.50</w:t>
            </w:r>
          </w:p>
        </w:tc>
        <w:tc>
          <w:tcPr>
            <w:tcW w:w="28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20" w:type="dxa"/>
            <w:vAlign w:val="bottom"/>
            <w:shd w:val="clear" w:color="auto" w:fill="CCEEFF"/>
          </w:tcPr>
          <w:p>
            <w:pPr>
              <w:jc w:val="right"/>
              <w:ind w:right="85"/>
              <w:spacing w:after="0" w:line="215" w:lineRule="exact"/>
              <w:rPr>
                <w:sz w:val="20"/>
                <w:szCs w:val="20"/>
                <w:color w:val="auto"/>
              </w:rPr>
            </w:pPr>
            <w:r>
              <w:rPr>
                <w:rFonts w:ascii="Arial" w:cs="Arial" w:eastAsia="Arial" w:hAnsi="Arial"/>
                <w:sz w:val="19"/>
                <w:szCs w:val="19"/>
                <w:color w:val="auto"/>
              </w:rPr>
              <w:t>92.36</w:t>
            </w:r>
          </w:p>
        </w:tc>
        <w:tc>
          <w:tcPr>
            <w:tcW w:w="300" w:type="dxa"/>
            <w:vAlign w:val="bottom"/>
            <w:shd w:val="clear" w:color="auto" w:fill="CCEEFF"/>
          </w:tcPr>
          <w:p>
            <w:pPr>
              <w:jc w:val="right"/>
              <w:spacing w:after="0" w:line="215" w:lineRule="exact"/>
              <w:rPr>
                <w:sz w:val="20"/>
                <w:szCs w:val="20"/>
                <w:color w:val="auto"/>
              </w:rPr>
            </w:pPr>
            <w:r>
              <w:rPr>
                <w:rFonts w:ascii="Arial" w:cs="Arial" w:eastAsia="Arial" w:hAnsi="Arial"/>
                <w:sz w:val="19"/>
                <w:szCs w:val="19"/>
                <w:color w:val="auto"/>
              </w:rPr>
              <w:t>$</w:t>
            </w:r>
          </w:p>
        </w:tc>
        <w:tc>
          <w:tcPr>
            <w:tcW w:w="740" w:type="dxa"/>
            <w:vAlign w:val="bottom"/>
            <w:shd w:val="clear" w:color="auto" w:fill="CCEEFF"/>
          </w:tcPr>
          <w:p>
            <w:pPr>
              <w:jc w:val="right"/>
              <w:ind w:right="125"/>
              <w:spacing w:after="0" w:line="215" w:lineRule="exact"/>
              <w:rPr>
                <w:sz w:val="20"/>
                <w:szCs w:val="20"/>
                <w:color w:val="auto"/>
              </w:rPr>
            </w:pPr>
            <w:r>
              <w:rPr>
                <w:rFonts w:ascii="Arial" w:cs="Arial" w:eastAsia="Arial" w:hAnsi="Arial"/>
                <w:sz w:val="19"/>
                <w:szCs w:val="19"/>
                <w:color w:val="auto"/>
                <w:w w:val="85"/>
              </w:rPr>
              <w:t>154.64</w:t>
            </w:r>
          </w:p>
        </w:tc>
        <w:tc>
          <w:tcPr>
            <w:tcW w:w="1020" w:type="dxa"/>
            <w:vAlign w:val="bottom"/>
            <w:shd w:val="clear" w:color="auto" w:fill="CCEEFF"/>
          </w:tcPr>
          <w:p>
            <w:pPr>
              <w:jc w:val="right"/>
              <w:ind w:right="105"/>
              <w:spacing w:after="0" w:line="215" w:lineRule="exact"/>
              <w:rPr>
                <w:sz w:val="20"/>
                <w:szCs w:val="20"/>
                <w:color w:val="auto"/>
              </w:rPr>
            </w:pPr>
            <w:r>
              <w:rPr>
                <w:rFonts w:ascii="Arial" w:cs="Arial" w:eastAsia="Arial" w:hAnsi="Arial"/>
                <w:sz w:val="19"/>
                <w:szCs w:val="19"/>
                <w:color w:val="auto"/>
              </w:rPr>
              <w:t>89.74%</w:t>
            </w:r>
          </w:p>
        </w:tc>
        <w:tc>
          <w:tcPr>
            <w:tcW w:w="1000" w:type="dxa"/>
            <w:vAlign w:val="bottom"/>
            <w:shd w:val="clear" w:color="auto" w:fill="CCEEFF"/>
          </w:tcPr>
          <w:p>
            <w:pPr>
              <w:jc w:val="right"/>
              <w:ind w:right="105"/>
              <w:spacing w:after="0" w:line="215" w:lineRule="exact"/>
              <w:rPr>
                <w:sz w:val="20"/>
                <w:szCs w:val="20"/>
                <w:color w:val="auto"/>
              </w:rPr>
            </w:pPr>
            <w:r>
              <w:rPr>
                <w:rFonts w:ascii="Arial" w:cs="Arial" w:eastAsia="Arial" w:hAnsi="Arial"/>
                <w:sz w:val="19"/>
                <w:szCs w:val="19"/>
                <w:color w:val="auto"/>
              </w:rPr>
              <w:t>67.43%</w:t>
            </w:r>
          </w:p>
        </w:tc>
        <w:tc>
          <w:tcPr>
            <w:tcW w:w="920" w:type="dxa"/>
            <w:vAlign w:val="bottom"/>
            <w:shd w:val="clear" w:color="auto" w:fill="CCEEFF"/>
          </w:tcPr>
          <w:p>
            <w:pPr>
              <w:jc w:val="center"/>
              <w:ind w:left="85"/>
              <w:spacing w:after="0" w:line="215" w:lineRule="exact"/>
              <w:rPr>
                <w:sz w:val="20"/>
                <w:szCs w:val="20"/>
                <w:color w:val="auto"/>
              </w:rPr>
            </w:pPr>
            <w:r>
              <w:rPr>
                <w:rFonts w:ascii="Arial" w:cs="Arial" w:eastAsia="Arial" w:hAnsi="Arial"/>
                <w:sz w:val="19"/>
                <w:szCs w:val="19"/>
                <w:color w:val="auto"/>
                <w:w w:val="93"/>
              </w:rPr>
              <w:t>IPO price</w:t>
            </w:r>
          </w:p>
        </w:tc>
      </w:tr>
      <w:tr>
        <w:trPr>
          <w:trHeight w:val="242"/>
        </w:trPr>
        <w:tc>
          <w:tcPr>
            <w:tcW w:w="314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85"/>
              <w:spacing w:after="0"/>
              <w:rPr>
                <w:sz w:val="20"/>
                <w:szCs w:val="20"/>
                <w:color w:val="auto"/>
              </w:rPr>
            </w:pPr>
            <w:r>
              <w:rPr>
                <w:rFonts w:ascii="Arial" w:cs="Arial" w:eastAsia="Arial" w:hAnsi="Arial"/>
                <w:sz w:val="19"/>
                <w:szCs w:val="19"/>
                <w:color w:val="auto"/>
                <w:w w:val="86"/>
              </w:rPr>
              <w:t>range</w:t>
            </w:r>
          </w:p>
        </w:tc>
      </w:tr>
      <w:tr>
        <w:trPr>
          <w:trHeight w:val="214"/>
        </w:trPr>
        <w:tc>
          <w:tcPr>
            <w:tcW w:w="3140" w:type="dxa"/>
            <w:vAlign w:val="bottom"/>
          </w:tcPr>
          <w:p>
            <w:pPr>
              <w:spacing w:after="0" w:line="214" w:lineRule="exact"/>
              <w:rPr>
                <w:sz w:val="20"/>
                <w:szCs w:val="20"/>
                <w:color w:val="auto"/>
              </w:rPr>
            </w:pPr>
            <w:r>
              <w:rPr>
                <w:rFonts w:ascii="Arial" w:cs="Arial" w:eastAsia="Arial" w:hAnsi="Arial"/>
                <w:sz w:val="19"/>
                <w:szCs w:val="19"/>
                <w:color w:val="auto"/>
              </w:rPr>
              <w:t>Zscaler</w:t>
            </w:r>
          </w:p>
        </w:tc>
        <w:tc>
          <w:tcPr>
            <w:tcW w:w="232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rPr>
              <w:t>36.29</w:t>
            </w:r>
          </w:p>
        </w:tc>
        <w:tc>
          <w:tcPr>
            <w:tcW w:w="28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20" w:type="dxa"/>
            <w:vAlign w:val="bottom"/>
          </w:tcPr>
          <w:p>
            <w:pPr>
              <w:jc w:val="right"/>
              <w:ind w:right="85"/>
              <w:spacing w:after="0" w:line="214" w:lineRule="exact"/>
              <w:rPr>
                <w:sz w:val="20"/>
                <w:szCs w:val="20"/>
                <w:color w:val="auto"/>
              </w:rPr>
            </w:pPr>
            <w:r>
              <w:rPr>
                <w:rFonts w:ascii="Arial" w:cs="Arial" w:eastAsia="Arial" w:hAnsi="Arial"/>
                <w:sz w:val="19"/>
                <w:szCs w:val="19"/>
                <w:color w:val="auto"/>
              </w:rPr>
              <w:t>48.37</w:t>
            </w:r>
          </w:p>
        </w:tc>
        <w:tc>
          <w:tcPr>
            <w:tcW w:w="300" w:type="dxa"/>
            <w:vAlign w:val="bottom"/>
          </w:tcPr>
          <w:p>
            <w:pPr>
              <w:jc w:val="right"/>
              <w:spacing w:after="0" w:line="214" w:lineRule="exact"/>
              <w:rPr>
                <w:sz w:val="20"/>
                <w:szCs w:val="20"/>
                <w:color w:val="auto"/>
              </w:rPr>
            </w:pPr>
            <w:r>
              <w:rPr>
                <w:rFonts w:ascii="Arial" w:cs="Arial" w:eastAsia="Arial" w:hAnsi="Arial"/>
                <w:sz w:val="19"/>
                <w:szCs w:val="19"/>
                <w:color w:val="auto"/>
              </w:rPr>
              <w:t>$</w:t>
            </w:r>
          </w:p>
        </w:tc>
        <w:tc>
          <w:tcPr>
            <w:tcW w:w="740" w:type="dxa"/>
            <w:vAlign w:val="bottom"/>
          </w:tcPr>
          <w:p>
            <w:pPr>
              <w:jc w:val="right"/>
              <w:ind w:right="125"/>
              <w:spacing w:after="0" w:line="214" w:lineRule="exact"/>
              <w:rPr>
                <w:sz w:val="20"/>
                <w:szCs w:val="20"/>
                <w:color w:val="auto"/>
              </w:rPr>
            </w:pPr>
            <w:r>
              <w:rPr>
                <w:rFonts w:ascii="Arial" w:cs="Arial" w:eastAsia="Arial" w:hAnsi="Arial"/>
                <w:sz w:val="19"/>
                <w:szCs w:val="19"/>
                <w:color w:val="auto"/>
              </w:rPr>
              <w:t>69.62</w:t>
            </w:r>
          </w:p>
        </w:tc>
        <w:tc>
          <w:tcPr>
            <w:tcW w:w="102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91.84%</w:t>
            </w:r>
          </w:p>
        </w:tc>
        <w:tc>
          <w:tcPr>
            <w:tcW w:w="1000" w:type="dxa"/>
            <w:vAlign w:val="bottom"/>
          </w:tcPr>
          <w:p>
            <w:pPr>
              <w:jc w:val="right"/>
              <w:ind w:right="105"/>
              <w:spacing w:after="0" w:line="214" w:lineRule="exact"/>
              <w:rPr>
                <w:sz w:val="20"/>
                <w:szCs w:val="20"/>
                <w:color w:val="auto"/>
              </w:rPr>
            </w:pPr>
            <w:r>
              <w:rPr>
                <w:rFonts w:ascii="Arial" w:cs="Arial" w:eastAsia="Arial" w:hAnsi="Arial"/>
                <w:sz w:val="19"/>
                <w:szCs w:val="19"/>
                <w:color w:val="auto"/>
              </w:rPr>
              <w:t>43.91%</w:t>
            </w:r>
          </w:p>
        </w:tc>
        <w:tc>
          <w:tcPr>
            <w:tcW w:w="920" w:type="dxa"/>
            <w:vAlign w:val="bottom"/>
          </w:tcPr>
          <w:p>
            <w:pPr>
              <w:jc w:val="center"/>
              <w:ind w:left="85"/>
              <w:spacing w:after="0" w:line="214" w:lineRule="exact"/>
              <w:rPr>
                <w:sz w:val="20"/>
                <w:szCs w:val="20"/>
                <w:color w:val="auto"/>
              </w:rPr>
            </w:pPr>
            <w:r>
              <w:rPr>
                <w:rFonts w:ascii="Arial" w:cs="Arial" w:eastAsia="Arial" w:hAnsi="Arial"/>
                <w:sz w:val="19"/>
                <w:szCs w:val="19"/>
                <w:color w:val="auto"/>
                <w:w w:val="93"/>
              </w:rPr>
              <w:t>IPO price</w:t>
            </w:r>
          </w:p>
        </w:tc>
      </w:tr>
      <w:tr>
        <w:trPr>
          <w:trHeight w:val="241"/>
        </w:trPr>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jc w:val="center"/>
              <w:ind w:left="85"/>
              <w:spacing w:after="0"/>
              <w:rPr>
                <w:sz w:val="20"/>
                <w:szCs w:val="20"/>
                <w:color w:val="auto"/>
              </w:rPr>
            </w:pPr>
            <w:r>
              <w:rPr>
                <w:rFonts w:ascii="Arial" w:cs="Arial" w:eastAsia="Arial" w:hAnsi="Arial"/>
                <w:sz w:val="19"/>
                <w:szCs w:val="19"/>
                <w:color w:val="auto"/>
                <w:w w:val="86"/>
              </w:rPr>
              <w:t>range</w:t>
            </w:r>
          </w:p>
        </w:tc>
      </w:tr>
    </w:tbl>
    <w:p>
      <w:pPr>
        <w:spacing w:after="0" w:line="101" w:lineRule="exact"/>
        <w:rPr>
          <w:sz w:val="20"/>
          <w:szCs w:val="20"/>
          <w:color w:val="auto"/>
        </w:rPr>
      </w:pPr>
    </w:p>
    <w:p>
      <w:pPr>
        <w:ind w:left="460" w:right="120" w:firstLine="447"/>
        <w:spacing w:after="0" w:line="288" w:lineRule="auto"/>
        <w:rPr>
          <w:sz w:val="20"/>
          <w:szCs w:val="20"/>
          <w:color w:val="auto"/>
        </w:rPr>
      </w:pPr>
      <w:r>
        <w:rPr>
          <w:rFonts w:ascii="Arial" w:cs="Arial" w:eastAsia="Arial" w:hAnsi="Arial"/>
          <w:sz w:val="17"/>
          <w:szCs w:val="17"/>
          <w:color w:val="auto"/>
        </w:rPr>
        <w:t>Another contributing factor to the increase in the Company’s valuation during this period is the expansion of the next 12 month (“</w:t>
      </w:r>
      <w:r>
        <w:rPr>
          <w:rFonts w:ascii="Arial" w:cs="Arial" w:eastAsia="Arial" w:hAnsi="Arial"/>
          <w:sz w:val="17"/>
          <w:szCs w:val="17"/>
          <w:b w:val="1"/>
          <w:bCs w:val="1"/>
          <w:i w:val="1"/>
          <w:iCs w:val="1"/>
          <w:color w:val="auto"/>
        </w:rPr>
        <w:t>NTM</w:t>
      </w:r>
      <w:r>
        <w:rPr>
          <w:rFonts w:ascii="Arial" w:cs="Arial" w:eastAsia="Arial" w:hAnsi="Arial"/>
          <w:sz w:val="17"/>
          <w:szCs w:val="17"/>
          <w:color w:val="auto"/>
        </w:rPr>
        <w:t xml:space="preserve">”) revenue multiples of these comparable companies. </w:t>
      </w:r>
      <w:r>
        <w:rPr>
          <w:rFonts w:ascii="Arial" w:cs="Arial" w:eastAsia="Arial" w:hAnsi="Arial"/>
          <w:sz w:val="17"/>
          <w:szCs w:val="17"/>
          <w:b w:val="1"/>
          <w:bCs w:val="1"/>
          <w:color w:val="auto"/>
        </w:rPr>
        <w:t>[***]</w:t>
      </w:r>
      <w:r>
        <w:rPr>
          <w:rFonts w:ascii="Arial" w:cs="Arial" w:eastAsia="Arial" w:hAnsi="Arial"/>
          <w:sz w:val="17"/>
          <w:szCs w:val="17"/>
          <w:color w:val="auto"/>
        </w:rPr>
        <w:t xml:space="preserve"> By comparison, the Company’s preliminary price range represents a revenue multiple of</w:t>
      </w:r>
    </w:p>
    <w:p>
      <w:pPr>
        <w:ind w:left="920" w:hanging="455"/>
        <w:spacing w:after="0"/>
        <w:tabs>
          <w:tab w:leader="none" w:pos="920" w:val="left"/>
        </w:tabs>
        <w:numPr>
          <w:ilvl w:val="0"/>
          <w:numId w:val="4"/>
        </w:numPr>
        <w:rPr>
          <w:rFonts w:ascii="Arial" w:cs="Arial" w:eastAsia="Arial" w:hAnsi="Arial"/>
          <w:sz w:val="19"/>
          <w:szCs w:val="19"/>
          <w:b w:val="1"/>
          <w:bCs w:val="1"/>
          <w:color w:val="auto"/>
        </w:rPr>
      </w:pPr>
      <w:r>
        <w:rPr>
          <w:rFonts w:ascii="Arial" w:cs="Arial" w:eastAsia="Arial" w:hAnsi="Arial"/>
          <w:sz w:val="19"/>
          <w:szCs w:val="19"/>
          <w:color w:val="auto"/>
        </w:rPr>
        <w:t xml:space="preserve">to calendar year 2019 revenue and </w:t>
      </w:r>
      <w:r>
        <w:rPr>
          <w:rFonts w:ascii="Arial" w:cs="Arial" w:eastAsia="Arial" w:hAnsi="Arial"/>
          <w:sz w:val="19"/>
          <w:szCs w:val="19"/>
          <w:b w:val="1"/>
          <w:bCs w:val="1"/>
          <w:color w:val="auto"/>
        </w:rPr>
        <w:t>[***]</w:t>
      </w:r>
      <w:r>
        <w:rPr>
          <w:rFonts w:ascii="Arial" w:cs="Arial" w:eastAsia="Arial" w:hAnsi="Arial"/>
          <w:sz w:val="19"/>
          <w:szCs w:val="19"/>
          <w:color w:val="auto"/>
        </w:rPr>
        <w:t xml:space="preserve"> to calendar year 2020 revenue.</w:t>
      </w:r>
    </w:p>
    <w:p>
      <w:pPr>
        <w:spacing w:after="0" w:line="111" w:lineRule="exact"/>
        <w:rPr>
          <w:sz w:val="20"/>
          <w:szCs w:val="20"/>
          <w:color w:val="auto"/>
        </w:rPr>
      </w:pPr>
    </w:p>
    <w:p>
      <w:pPr>
        <w:ind w:left="460" w:right="20" w:firstLine="447"/>
        <w:spacing w:after="0" w:line="289" w:lineRule="auto"/>
        <w:rPr>
          <w:sz w:val="20"/>
          <w:szCs w:val="20"/>
          <w:color w:val="auto"/>
        </w:rPr>
      </w:pPr>
      <w:r>
        <w:rPr>
          <w:rFonts w:ascii="Arial" w:cs="Arial" w:eastAsia="Arial" w:hAnsi="Arial"/>
          <w:sz w:val="17"/>
          <w:szCs w:val="17"/>
          <w:color w:val="auto"/>
        </w:rPr>
        <w:t>The Company further supplementally advises the Staff that the December 2018 valuation weighted the probability of a successful IPO at 60% under the market and income approach and assumed a discount for lack of marketability of 13.0%. The December 2018 valuation used the PWERM as the equity allocation method and assigned a 48% weighting to an IPO outcome, a 32% weighting to remaining a private company and a 20% weighting to the secondary sales that occurred in November 2018. The January 2019 valuation weighted the probability of a successful IPO at 70% under the market and income approach and assumed a discount for lack of marketability of 11.5%. The January 2019 valuation also used the PWERM as the equity allocation method and assigned a 56% weighting to an IPO outcome, a 24% weighting to remaining a private company and a 20% weighting to the secondary sales. The IPO price range weighted an IPO at 100%.</w:t>
      </w:r>
    </w:p>
    <w:p>
      <w:pPr>
        <w:spacing w:after="0" w:line="64" w:lineRule="exact"/>
        <w:rPr>
          <w:sz w:val="20"/>
          <w:szCs w:val="20"/>
          <w:color w:val="auto"/>
        </w:rPr>
      </w:pPr>
    </w:p>
    <w:p>
      <w:pPr>
        <w:ind w:left="460" w:right="100" w:firstLine="447"/>
        <w:spacing w:after="0" w:line="269" w:lineRule="auto"/>
        <w:rPr>
          <w:sz w:val="20"/>
          <w:szCs w:val="20"/>
          <w:color w:val="auto"/>
        </w:rPr>
      </w:pPr>
      <w:r>
        <w:rPr>
          <w:rFonts w:ascii="Arial" w:cs="Arial" w:eastAsia="Arial" w:hAnsi="Arial"/>
          <w:sz w:val="18"/>
          <w:szCs w:val="18"/>
          <w:color w:val="auto"/>
        </w:rPr>
        <w:t>The Company further supplementally advises the Staff that the stock-based compensation expense included in the Company’s fiscal 2019 financial statements is not impacted by the Company’s preliminary price range. As described in the Company’s response to the Staff’s comment No. 10 on March 19, 2019, the Company granted 742,400 options to purchase shares of Class B common stock on January 24, 2019. These options vest over a period of 48 months. As a result, only an immaterial amount of stock-based compensation expense related to these option grants is attributed to the portion of the requisite service completed in fiscal 2019. Prior to these option grants, the Company granted an aggregate of 955,580 options to purchase shares of Class B common stock in November 2018 with a weighted average fair value per share of $15.23. As described in the Company’s response to the Staff’s comment No. 10 on March 19, 2019, the reassessment of the fair value of these option grants was informed by, among other things, the transaction price of subsequent secondary sale transactions at $17.86 per share (prior to adjustment for discount for lack of marketability).</w:t>
      </w:r>
    </w:p>
    <w:p>
      <w:pPr>
        <w:spacing w:after="0" w:line="200" w:lineRule="exact"/>
        <w:rPr>
          <w:sz w:val="20"/>
          <w:szCs w:val="20"/>
          <w:color w:val="auto"/>
        </w:rPr>
      </w:pPr>
    </w:p>
    <w:p>
      <w:pPr>
        <w:spacing w:after="0" w:line="222" w:lineRule="exact"/>
        <w:rPr>
          <w:sz w:val="20"/>
          <w:szCs w:val="20"/>
          <w:color w:val="auto"/>
        </w:rPr>
      </w:pPr>
    </w:p>
    <w:p>
      <w:pPr>
        <w:ind w:left="5300"/>
        <w:spacing w:after="0"/>
        <w:tabs>
          <w:tab w:leader="none" w:pos="5760" w:val="left"/>
          <w:tab w:leader="none" w:pos="62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p>
      <w:pPr>
        <w:sectPr>
          <w:pgSz w:w="12240" w:h="15840" w:orient="portrait"/>
          <w:cols w:equalWidth="0" w:num="1">
            <w:col w:w="11640"/>
          </w:cols>
          <w:pgMar w:left="300" w:top="136" w:right="300"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222375" cy="398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2375" cy="39814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BY ZOOM VIDEO COMMUNICATIONS, INC.: ZOOM-0003</w:t>
      </w:r>
    </w:p>
    <w:p>
      <w:pPr>
        <w:spacing w:after="0" w:line="282" w:lineRule="exact"/>
        <w:rPr>
          <w:sz w:val="20"/>
          <w:szCs w:val="20"/>
          <w:color w:val="auto"/>
        </w:rPr>
      </w:pPr>
    </w:p>
    <w:p>
      <w:pPr>
        <w:ind w:left="1"/>
        <w:spacing w:after="0"/>
        <w:rPr>
          <w:sz w:val="20"/>
          <w:szCs w:val="20"/>
          <w:color w:val="auto"/>
        </w:rPr>
      </w:pPr>
      <w:r>
        <w:rPr>
          <w:rFonts w:ascii="Arial" w:cs="Arial" w:eastAsia="Arial" w:hAnsi="Arial"/>
          <w:sz w:val="19"/>
          <w:szCs w:val="19"/>
          <w:color w:val="auto"/>
        </w:rPr>
        <w:t>U.S. Securities and Exchange Commission</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9"/>
          <w:szCs w:val="19"/>
          <w:color w:val="auto"/>
        </w:rPr>
        <w:t>April 1, 2019</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9"/>
          <w:szCs w:val="19"/>
          <w:color w:val="auto"/>
        </w:rPr>
        <w:t>Page 6</w:t>
      </w:r>
    </w:p>
    <w:p>
      <w:pPr>
        <w:spacing w:after="0" w:line="153" w:lineRule="exact"/>
        <w:rPr>
          <w:sz w:val="20"/>
          <w:szCs w:val="20"/>
          <w:color w:val="auto"/>
        </w:rPr>
      </w:pPr>
    </w:p>
    <w:p>
      <w:pPr>
        <w:ind w:left="461"/>
        <w:spacing w:after="0"/>
        <w:rPr>
          <w:sz w:val="20"/>
          <w:szCs w:val="20"/>
          <w:color w:val="auto"/>
        </w:rPr>
      </w:pPr>
      <w:r>
        <w:rPr>
          <w:rFonts w:ascii="Arial" w:cs="Arial" w:eastAsia="Arial" w:hAnsi="Arial"/>
          <w:sz w:val="19"/>
          <w:szCs w:val="19"/>
          <w:color w:val="auto"/>
        </w:rPr>
        <w:t>Please contact me at (650) 843-5307 with any questions or further comments regarding our responses to the Staff’s Comments.</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9"/>
          <w:szCs w:val="19"/>
          <w:color w:val="auto"/>
        </w:rPr>
        <w:t>Sincerely,</w:t>
      </w: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9"/>
          <w:szCs w:val="19"/>
          <w:color w:val="auto"/>
        </w:rPr>
        <w:t>/s/ Jon C. Avina</w:t>
      </w:r>
    </w:p>
    <w:p>
      <w:pPr>
        <w:spacing w:after="0" w:line="238" w:lineRule="exact"/>
        <w:rPr>
          <w:sz w:val="20"/>
          <w:szCs w:val="20"/>
          <w:color w:val="auto"/>
        </w:rPr>
      </w:pPr>
    </w:p>
    <w:p>
      <w:pPr>
        <w:ind w:left="1"/>
        <w:spacing w:after="0"/>
        <w:rPr>
          <w:sz w:val="20"/>
          <w:szCs w:val="20"/>
          <w:color w:val="auto"/>
        </w:rPr>
      </w:pPr>
      <w:r>
        <w:rPr>
          <w:rFonts w:ascii="Arial" w:cs="Arial" w:eastAsia="Arial" w:hAnsi="Arial"/>
          <w:sz w:val="19"/>
          <w:szCs w:val="19"/>
          <w:color w:val="auto"/>
        </w:rPr>
        <w:t>Jon C. Avina</w:t>
      </w:r>
    </w:p>
    <w:p>
      <w:pPr>
        <w:spacing w:after="0" w:line="266" w:lineRule="exact"/>
        <w:rPr>
          <w:sz w:val="20"/>
          <w:szCs w:val="20"/>
          <w:color w:val="auto"/>
        </w:rPr>
      </w:pPr>
    </w:p>
    <w:p>
      <w:pPr>
        <w:ind w:left="461" w:right="7080" w:hanging="461"/>
        <w:spacing w:after="0" w:line="268"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Kelly Steckelberg,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Aparna Bawa, </w:t>
      </w:r>
      <w:r>
        <w:rPr>
          <w:rFonts w:ascii="Arial" w:cs="Arial" w:eastAsia="Arial" w:hAnsi="Arial"/>
          <w:sz w:val="18"/>
          <w:szCs w:val="18"/>
          <w:i w:val="1"/>
          <w:iCs w:val="1"/>
          <w:color w:val="auto"/>
        </w:rPr>
        <w:t>Zoom Video Communications, Inc.</w:t>
      </w:r>
      <w:r>
        <w:rPr>
          <w:rFonts w:ascii="Arial" w:cs="Arial" w:eastAsia="Arial" w:hAnsi="Arial"/>
          <w:sz w:val="18"/>
          <w:szCs w:val="18"/>
          <w:color w:val="auto"/>
        </w:rPr>
        <w:t xml:space="preserve"> Calise Y. Cheng, </w:t>
      </w:r>
      <w:r>
        <w:rPr>
          <w:rFonts w:ascii="Arial" w:cs="Arial" w:eastAsia="Arial" w:hAnsi="Arial"/>
          <w:sz w:val="18"/>
          <w:szCs w:val="18"/>
          <w:i w:val="1"/>
          <w:iCs w:val="1"/>
          <w:color w:val="auto"/>
        </w:rPr>
        <w:t>Cooley LLP</w:t>
      </w:r>
    </w:p>
    <w:p>
      <w:pPr>
        <w:spacing w:after="0" w:line="1" w:lineRule="exact"/>
        <w:rPr>
          <w:rFonts w:ascii="Arial" w:cs="Arial" w:eastAsia="Arial" w:hAnsi="Arial"/>
          <w:sz w:val="18"/>
          <w:szCs w:val="18"/>
          <w:color w:val="auto"/>
        </w:rPr>
      </w:pPr>
    </w:p>
    <w:p>
      <w:pPr>
        <w:ind w:left="461" w:right="8780"/>
        <w:spacing w:after="0" w:line="289" w:lineRule="auto"/>
        <w:rPr>
          <w:rFonts w:ascii="Arial" w:cs="Arial" w:eastAsia="Arial" w:hAnsi="Arial"/>
          <w:sz w:val="18"/>
          <w:szCs w:val="18"/>
          <w:color w:val="auto"/>
        </w:rPr>
      </w:pPr>
      <w:r>
        <w:rPr>
          <w:rFonts w:ascii="Arial" w:cs="Arial" w:eastAsia="Arial" w:hAnsi="Arial"/>
          <w:sz w:val="18"/>
          <w:szCs w:val="18"/>
          <w:color w:val="auto"/>
        </w:rPr>
        <w:t xml:space="preserve">Bradley M. Libuit, </w:t>
      </w:r>
      <w:r>
        <w:rPr>
          <w:rFonts w:ascii="Arial" w:cs="Arial" w:eastAsia="Arial" w:hAnsi="Arial"/>
          <w:sz w:val="18"/>
          <w:szCs w:val="18"/>
          <w:i w:val="1"/>
          <w:iCs w:val="1"/>
          <w:color w:val="auto"/>
        </w:rPr>
        <w:t>Cooley LLP</w:t>
      </w:r>
      <w:r>
        <w:rPr>
          <w:rFonts w:ascii="Arial" w:cs="Arial" w:eastAsia="Arial" w:hAnsi="Arial"/>
          <w:sz w:val="18"/>
          <w:szCs w:val="18"/>
          <w:color w:val="auto"/>
        </w:rPr>
        <w:t xml:space="preserve"> Alex K. Kassai, </w:t>
      </w:r>
      <w:r>
        <w:rPr>
          <w:rFonts w:ascii="Arial" w:cs="Arial" w:eastAsia="Arial" w:hAnsi="Arial"/>
          <w:sz w:val="18"/>
          <w:szCs w:val="18"/>
          <w:i w:val="1"/>
          <w:iCs w:val="1"/>
          <w:color w:val="auto"/>
        </w:rPr>
        <w:t>Cooley LLP</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Cooley LLP 3175 Hanover Street Palo Alto, CA 94304-1130</w:t>
      </w:r>
    </w:p>
    <w:p>
      <w:pPr>
        <w:jc w:val="center"/>
        <w:spacing w:after="0"/>
        <w:rPr>
          <w:sz w:val="20"/>
          <w:szCs w:val="20"/>
          <w:color w:val="auto"/>
        </w:rPr>
      </w:pPr>
      <w:r>
        <w:rPr>
          <w:rFonts w:ascii="Arial" w:cs="Arial" w:eastAsia="Arial" w:hAnsi="Arial"/>
          <w:sz w:val="15"/>
          <w:szCs w:val="15"/>
          <w:color w:val="auto"/>
        </w:rPr>
        <w:t>t: (650) 843-5000 f: (650) 849-7400 cooley.com</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Zoom Video Communications, Inc. requests that the information contained in this letter, marked by brackets, be treated as confidential information pursuant to 17 C.F.R. §200.83.</w:t>
      </w:r>
    </w:p>
    <w:sectPr>
      <w:pgSz w:w="12240" w:h="15840" w:orient="portrait"/>
      <w:cols w:equalWidth="0" w:num="1">
        <w:col w:w="11641"/>
      </w:cols>
      <w:pgMar w:left="299" w:top="136" w:right="3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lvl w:ilvl="1">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2019-12-15T17:19:57Z</dcterms:created>
  <dcterms:modified xsi:type="dcterms:W3CDTF">2019-12-15T17:19:57Z</dcterms:modified>
</cp:coreProperties>
</file>