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1"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As filed with the U.S. Securities and Exchange Commission on March 18, 2021</w:t>
      </w:r>
    </w:p>
    <w:p>
      <w:pPr>
        <w:spacing w:after="0" w:line="150" w:lineRule="exact"/>
        <w:rPr>
          <w:sz w:val="24"/>
          <w:szCs w:val="24"/>
          <w:color w:val="auto"/>
        </w:rPr>
      </w:pPr>
    </w:p>
    <w:p>
      <w:pPr>
        <w:ind w:left="8620"/>
        <w:spacing w:after="0"/>
        <w:rPr>
          <w:sz w:val="20"/>
          <w:szCs w:val="20"/>
          <w:color w:val="auto"/>
        </w:rPr>
      </w:pPr>
      <w:r>
        <w:rPr>
          <w:rFonts w:ascii="Arial" w:cs="Arial" w:eastAsia="Arial" w:hAnsi="Arial"/>
          <w:sz w:val="14"/>
          <w:szCs w:val="14"/>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596265</wp:posOffset>
            </wp:positionH>
            <wp:positionV relativeFrom="paragraph">
              <wp:posOffset>83185</wp:posOffset>
            </wp:positionV>
            <wp:extent cx="5923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32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109220</wp:posOffset>
            </wp:positionV>
            <wp:extent cx="5923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394" w:lineRule="exact"/>
        <w:rPr>
          <w:sz w:val="24"/>
          <w:szCs w:val="24"/>
          <w:color w:val="auto"/>
        </w:rPr>
      </w:pPr>
    </w:p>
    <w:p>
      <w:pPr>
        <w:jc w:val="center"/>
        <w:ind w:right="-33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339"/>
        <w:spacing w:after="0"/>
        <w:rPr>
          <w:sz w:val="20"/>
          <w:szCs w:val="20"/>
          <w:color w:val="auto"/>
        </w:rPr>
      </w:pPr>
      <w:r>
        <w:rPr>
          <w:rFonts w:ascii="Arial" w:cs="Arial" w:eastAsia="Arial" w:hAnsi="Arial"/>
          <w:sz w:val="27"/>
          <w:szCs w:val="27"/>
          <w:b w:val="1"/>
          <w:bCs w:val="1"/>
          <w:color w:val="auto"/>
        </w:rPr>
        <w:t>SECURITIES AND EXCHANGE COMMISSION</w:t>
      </w:r>
    </w:p>
    <w:p>
      <w:pPr>
        <w:spacing w:after="0" w:line="11" w:lineRule="exact"/>
        <w:rPr>
          <w:sz w:val="24"/>
          <w:szCs w:val="24"/>
          <w:color w:val="auto"/>
        </w:rPr>
      </w:pPr>
    </w:p>
    <w:p>
      <w:pPr>
        <w:jc w:val="center"/>
        <w:ind w:right="-339"/>
        <w:spacing w:after="0"/>
        <w:rPr>
          <w:sz w:val="20"/>
          <w:szCs w:val="20"/>
          <w:color w:val="auto"/>
        </w:rPr>
      </w:pPr>
      <w:r>
        <w:rPr>
          <w:rFonts w:ascii="Arial" w:cs="Arial" w:eastAsia="Arial" w:hAnsi="Arial"/>
          <w:sz w:val="22"/>
          <w:szCs w:val="22"/>
          <w:color w:val="auto"/>
        </w:rPr>
        <w:t>Washington, D.C. 20549</w:t>
      </w:r>
    </w:p>
    <w:p>
      <w:pPr>
        <w:spacing w:after="0" w:line="222" w:lineRule="exact"/>
        <w:rPr>
          <w:sz w:val="24"/>
          <w:szCs w:val="24"/>
          <w:color w:val="auto"/>
        </w:rPr>
      </w:pPr>
    </w:p>
    <w:p>
      <w:pPr>
        <w:jc w:val="center"/>
        <w:ind w:right="-339"/>
        <w:spacing w:after="0"/>
        <w:rPr>
          <w:sz w:val="20"/>
          <w:szCs w:val="20"/>
          <w:color w:val="auto"/>
        </w:rPr>
      </w:pPr>
      <w:r>
        <w:rPr>
          <w:rFonts w:ascii="Arial" w:cs="Arial" w:eastAsia="Arial" w:hAnsi="Arial"/>
          <w:sz w:val="27"/>
          <w:szCs w:val="27"/>
          <w:b w:val="1"/>
          <w:bCs w:val="1"/>
          <w:color w:val="auto"/>
        </w:rPr>
        <w:t>FORM S-8</w:t>
      </w:r>
    </w:p>
    <w:p>
      <w:pPr>
        <w:spacing w:after="0" w:line="33"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REGISTRATION STATEMENT</w:t>
      </w:r>
    </w:p>
    <w:p>
      <w:pPr>
        <w:jc w:val="center"/>
        <w:ind w:right="-339"/>
        <w:spacing w:after="0"/>
        <w:rPr>
          <w:sz w:val="20"/>
          <w:szCs w:val="20"/>
          <w:color w:val="auto"/>
        </w:rPr>
      </w:pPr>
      <w:r>
        <w:rPr>
          <w:rFonts w:ascii="Arial" w:cs="Arial" w:eastAsia="Arial" w:hAnsi="Arial"/>
          <w:sz w:val="18"/>
          <w:szCs w:val="18"/>
          <w:i w:val="1"/>
          <w:iCs w:val="1"/>
          <w:color w:val="auto"/>
        </w:rPr>
        <w:t>UNDER</w:t>
      </w:r>
    </w:p>
    <w:p>
      <w:pPr>
        <w:spacing w:after="0" w:line="7" w:lineRule="exact"/>
        <w:rPr>
          <w:sz w:val="24"/>
          <w:szCs w:val="24"/>
          <w:color w:val="auto"/>
        </w:rPr>
      </w:pPr>
    </w:p>
    <w:p>
      <w:pPr>
        <w:jc w:val="center"/>
        <w:ind w:right="-339"/>
        <w:spacing w:after="0"/>
        <w:rPr>
          <w:sz w:val="20"/>
          <w:szCs w:val="20"/>
          <w:color w:val="auto"/>
        </w:rPr>
      </w:pPr>
      <w:r>
        <w:rPr>
          <w:rFonts w:ascii="Arial" w:cs="Arial" w:eastAsia="Arial" w:hAnsi="Arial"/>
          <w:sz w:val="18"/>
          <w:szCs w:val="18"/>
          <w:i w:val="1"/>
          <w:iCs w:val="1"/>
          <w:color w:val="auto"/>
        </w:rPr>
        <w:t>THE SECURITIES ACT OF 1933</w:t>
      </w:r>
    </w:p>
    <w:p>
      <w:pPr>
        <w:spacing w:after="0" w:line="87" w:lineRule="exact"/>
        <w:rPr>
          <w:sz w:val="24"/>
          <w:szCs w:val="24"/>
          <w:color w:val="auto"/>
        </w:rPr>
      </w:pPr>
    </w:p>
    <w:p>
      <w:pPr>
        <w:jc w:val="center"/>
        <w:ind w:right="-339"/>
        <w:spacing w:after="0"/>
        <w:rPr>
          <w:sz w:val="20"/>
          <w:szCs w:val="20"/>
          <w:color w:val="auto"/>
        </w:rPr>
      </w:pPr>
      <w:r>
        <w:rPr>
          <w:rFonts w:ascii="Arial" w:cs="Arial" w:eastAsia="Arial" w:hAnsi="Arial"/>
          <w:sz w:val="39"/>
          <w:szCs w:val="39"/>
          <w:b w:val="1"/>
          <w:bCs w:val="1"/>
          <w:color w:val="auto"/>
        </w:rPr>
        <w:t>Zoom Video Communications, Inc.</w:t>
      </w:r>
    </w:p>
    <w:p>
      <w:pPr>
        <w:spacing w:after="0" w:line="88"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900"/>
          </w:cols>
          <w:pgMar w:left="320" w:top="1440" w:right="679" w:bottom="1440" w:gutter="0" w:footer="0" w:header="0"/>
        </w:sectPr>
      </w:pPr>
    </w:p>
    <w:p>
      <w:pPr>
        <w:spacing w:after="0" w:line="34"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61-1648780</w:t>
      </w:r>
    </w:p>
    <w:p>
      <w:pPr>
        <w:spacing w:after="0" w:line="86" w:lineRule="exact"/>
        <w:rPr>
          <w:sz w:val="24"/>
          <w:szCs w:val="24"/>
          <w:color w:val="auto"/>
        </w:rPr>
      </w:pPr>
    </w:p>
    <w:p>
      <w:pPr>
        <w:sectPr>
          <w:pgSz w:w="11900" w:h="16838" w:orient="portrait"/>
          <w:cols w:equalWidth="0" w:num="2">
            <w:col w:w="8040" w:space="720"/>
            <w:col w:w="2140"/>
          </w:cols>
          <w:pgMar w:left="320" w:top="1440" w:right="679" w:bottom="1440" w:gutter="0" w:footer="0" w:header="0"/>
          <w:type w:val="continuous"/>
        </w:sectPr>
      </w:pPr>
    </w:p>
    <w:p>
      <w:pPr>
        <w:ind w:left="96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260" w:space="720"/>
            <w:col w:w="2920"/>
          </w:cols>
          <w:pgMar w:left="320" w:top="1440" w:right="679" w:bottom="1440" w:gutter="0" w:footer="0" w:header="0"/>
          <w:type w:val="continuous"/>
        </w:sectPr>
      </w:pPr>
    </w:p>
    <w:p>
      <w:pPr>
        <w:spacing w:after="0" w:line="96"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 Almaden Blvd, 6</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w:t>
      </w:r>
    </w:p>
    <w:p>
      <w:pPr>
        <w:spacing w:after="0" w:line="23"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San Jose, California 95113</w:t>
      </w:r>
    </w:p>
    <w:p>
      <w:pPr>
        <w:jc w:val="center"/>
        <w:ind w:right="-339"/>
        <w:spacing w:after="0"/>
        <w:rPr>
          <w:sz w:val="20"/>
          <w:szCs w:val="20"/>
          <w:color w:val="auto"/>
        </w:rPr>
      </w:pPr>
      <w:r>
        <w:rPr>
          <w:rFonts w:ascii="Arial" w:cs="Arial" w:eastAsia="Arial" w:hAnsi="Arial"/>
          <w:sz w:val="16"/>
          <w:szCs w:val="16"/>
          <w:b w:val="1"/>
          <w:bCs w:val="1"/>
          <w:color w:val="auto"/>
        </w:rPr>
        <w:t>(888) 799-9666</w:t>
      </w:r>
    </w:p>
    <w:p>
      <w:pPr>
        <w:jc w:val="center"/>
        <w:ind w:right="-339"/>
        <w:spacing w:after="0"/>
        <w:rPr>
          <w:sz w:val="20"/>
          <w:szCs w:val="20"/>
          <w:color w:val="auto"/>
        </w:rPr>
      </w:pPr>
      <w:r>
        <w:rPr>
          <w:rFonts w:ascii="Arial" w:cs="Arial" w:eastAsia="Arial" w:hAnsi="Arial"/>
          <w:sz w:val="13"/>
          <w:szCs w:val="13"/>
          <w:color w:val="auto"/>
        </w:rPr>
        <w:t>(Address of principal executive offices) (Zip code)</w:t>
      </w:r>
    </w:p>
    <w:p>
      <w:pPr>
        <w:sectPr>
          <w:pgSz w:w="11900" w:h="16838" w:orient="portrait"/>
          <w:cols w:equalWidth="0" w:num="1">
            <w:col w:w="10900"/>
          </w:cols>
          <w:pgMar w:left="320" w:top="1440" w:right="679" w:bottom="1440" w:gutter="0" w:footer="0" w:header="0"/>
          <w:type w:val="continuous"/>
        </w:sectPr>
      </w:pPr>
    </w:p>
    <w:p>
      <w:pPr>
        <w:spacing w:after="0" w:line="248"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Zoom Video Communications, Inc. 2019 Equity Incentive Plan</w:t>
      </w:r>
    </w:p>
    <w:p>
      <w:pPr>
        <w:spacing w:after="0" w:line="17"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Zoom Video Communications, Inc. 2019 Employee Stock Purchase Plan</w:t>
      </w:r>
    </w:p>
    <w:p>
      <w:pPr>
        <w:jc w:val="center"/>
        <w:ind w:right="-359"/>
        <w:spacing w:after="0"/>
        <w:rPr>
          <w:sz w:val="20"/>
          <w:szCs w:val="20"/>
          <w:color w:val="auto"/>
        </w:rPr>
      </w:pPr>
      <w:r>
        <w:rPr>
          <w:rFonts w:ascii="Arial" w:cs="Arial" w:eastAsia="Arial" w:hAnsi="Arial"/>
          <w:sz w:val="14"/>
          <w:szCs w:val="14"/>
          <w:color w:val="auto"/>
        </w:rPr>
        <w:t>(Full titles of the plans)</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_____________________________________</w:t>
      </w:r>
    </w:p>
    <w:p>
      <w:pPr>
        <w:spacing w:after="0" w:line="237"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Eric S. Yuan</w:t>
      </w:r>
    </w:p>
    <w:p>
      <w:pPr>
        <w:spacing w:after="0" w:line="23"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5"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Zoom Video Communications, Inc.</w:t>
      </w:r>
    </w:p>
    <w:p>
      <w:pPr>
        <w:jc w:val="center"/>
        <w:ind w:right="-359"/>
        <w:spacing w:after="0" w:line="192" w:lineRule="auto"/>
        <w:rPr>
          <w:sz w:val="20"/>
          <w:szCs w:val="20"/>
          <w:color w:val="auto"/>
        </w:rPr>
      </w:pPr>
      <w:r>
        <w:rPr>
          <w:rFonts w:ascii="Arial" w:cs="Arial" w:eastAsia="Arial" w:hAnsi="Arial"/>
          <w:sz w:val="16"/>
          <w:szCs w:val="16"/>
          <w:b w:val="1"/>
          <w:bCs w:val="1"/>
          <w:color w:val="auto"/>
        </w:rPr>
        <w:t>55 Almaden Blvd, 6</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Floor</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16"/>
          <w:szCs w:val="16"/>
          <w:b w:val="1"/>
          <w:bCs w:val="1"/>
          <w:color w:val="auto"/>
        </w:rPr>
        <w:t>San Jose, California 95113</w:t>
      </w:r>
    </w:p>
    <w:p>
      <w:pPr>
        <w:jc w:val="center"/>
        <w:ind w:right="-359"/>
        <w:spacing w:after="0"/>
        <w:rPr>
          <w:sz w:val="20"/>
          <w:szCs w:val="20"/>
          <w:color w:val="auto"/>
        </w:rPr>
      </w:pPr>
      <w:r>
        <w:rPr>
          <w:rFonts w:ascii="Arial" w:cs="Arial" w:eastAsia="Arial" w:hAnsi="Arial"/>
          <w:sz w:val="16"/>
          <w:szCs w:val="16"/>
          <w:b w:val="1"/>
          <w:bCs w:val="1"/>
          <w:color w:val="auto"/>
        </w:rPr>
        <w:t>(888) 799-9666</w:t>
      </w:r>
    </w:p>
    <w:p>
      <w:pPr>
        <w:ind w:left="2680"/>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41" w:lineRule="exact"/>
        <w:rPr>
          <w:sz w:val="24"/>
          <w:szCs w:val="24"/>
          <w:color w:val="auto"/>
        </w:rPr>
      </w:pPr>
    </w:p>
    <w:tbl>
      <w:tblPr>
        <w:tblLayout w:type="fixed"/>
        <w:tblInd w:w="1560" w:type="dxa"/>
        <w:tblCellMar>
          <w:top w:w="0" w:type="dxa"/>
          <w:left w:w="0" w:type="dxa"/>
          <w:bottom w:w="0" w:type="dxa"/>
          <w:right w:w="0" w:type="dxa"/>
        </w:tblCellMar>
      </w:tblPr>
      <w:tr>
        <w:trPr>
          <w:trHeight w:val="206"/>
        </w:trPr>
        <w:tc>
          <w:tcPr>
            <w:tcW w:w="2800" w:type="dxa"/>
            <w:vAlign w:val="bottom"/>
          </w:tcPr>
          <w:p>
            <w:pPr>
              <w:spacing w:after="0"/>
              <w:rPr>
                <w:sz w:val="17"/>
                <w:szCs w:val="17"/>
                <w:color w:val="auto"/>
              </w:rPr>
            </w:pPr>
          </w:p>
        </w:tc>
        <w:tc>
          <w:tcPr>
            <w:tcW w:w="5120" w:type="dxa"/>
            <w:vAlign w:val="bottom"/>
          </w:tcPr>
          <w:p>
            <w:pPr>
              <w:ind w:left="920"/>
              <w:spacing w:after="0"/>
              <w:rPr>
                <w:sz w:val="20"/>
                <w:szCs w:val="20"/>
                <w:color w:val="auto"/>
              </w:rPr>
            </w:pPr>
            <w:r>
              <w:rPr>
                <w:rFonts w:ascii="Arial" w:cs="Arial" w:eastAsia="Arial" w:hAnsi="Arial"/>
                <w:sz w:val="16"/>
                <w:szCs w:val="16"/>
                <w:b w:val="1"/>
                <w:bCs w:val="1"/>
                <w:i w:val="1"/>
                <w:iCs w:val="1"/>
                <w:color w:val="auto"/>
              </w:rPr>
              <w:t>Copies to:</w:t>
            </w:r>
          </w:p>
        </w:tc>
      </w:tr>
      <w:tr>
        <w:trPr>
          <w:trHeight w:val="222"/>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2"/>
              </w:rPr>
              <w:t>Jon C. Avina</w:t>
            </w:r>
          </w:p>
        </w:tc>
        <w:tc>
          <w:tcPr>
            <w:tcW w:w="5120" w:type="dxa"/>
            <w:vAlign w:val="bottom"/>
          </w:tcPr>
          <w:p>
            <w:pPr>
              <w:jc w:val="center"/>
              <w:ind w:left="3159"/>
              <w:spacing w:after="0"/>
              <w:rPr>
                <w:sz w:val="20"/>
                <w:szCs w:val="20"/>
                <w:color w:val="auto"/>
              </w:rPr>
            </w:pPr>
            <w:r>
              <w:rPr>
                <w:rFonts w:ascii="Arial" w:cs="Arial" w:eastAsia="Arial" w:hAnsi="Arial"/>
                <w:sz w:val="16"/>
                <w:szCs w:val="16"/>
                <w:b w:val="1"/>
                <w:bCs w:val="1"/>
                <w:color w:val="auto"/>
                <w:w w:val="92"/>
              </w:rPr>
              <w:t>Jeffrey C. True</w:t>
            </w:r>
          </w:p>
        </w:tc>
      </w:tr>
      <w:tr>
        <w:trPr>
          <w:trHeight w:val="189"/>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0"/>
              </w:rPr>
              <w:t>Calise Y. Cheng</w:t>
            </w:r>
          </w:p>
        </w:tc>
        <w:tc>
          <w:tcPr>
            <w:tcW w:w="5120" w:type="dxa"/>
            <w:vAlign w:val="bottom"/>
          </w:tcPr>
          <w:p>
            <w:pPr>
              <w:jc w:val="center"/>
              <w:ind w:left="3159"/>
              <w:spacing w:after="0"/>
              <w:rPr>
                <w:sz w:val="20"/>
                <w:szCs w:val="20"/>
                <w:color w:val="auto"/>
              </w:rPr>
            </w:pPr>
            <w:r>
              <w:rPr>
                <w:rFonts w:ascii="Arial" w:cs="Arial" w:eastAsia="Arial" w:hAnsi="Arial"/>
                <w:sz w:val="16"/>
                <w:szCs w:val="16"/>
                <w:b w:val="1"/>
                <w:bCs w:val="1"/>
                <w:color w:val="auto"/>
                <w:w w:val="91"/>
              </w:rPr>
              <w:t>General Counsel</w:t>
            </w:r>
          </w:p>
        </w:tc>
      </w:tr>
      <w:tr>
        <w:trPr>
          <w:trHeight w:val="189"/>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2"/>
              </w:rPr>
              <w:t>Alex K. Kassai</w:t>
            </w:r>
          </w:p>
        </w:tc>
        <w:tc>
          <w:tcPr>
            <w:tcW w:w="5120" w:type="dxa"/>
            <w:vAlign w:val="bottom"/>
          </w:tcPr>
          <w:p>
            <w:pPr>
              <w:jc w:val="center"/>
              <w:ind w:left="3159"/>
              <w:spacing w:after="0" w:line="189" w:lineRule="exact"/>
              <w:rPr>
                <w:sz w:val="20"/>
                <w:szCs w:val="20"/>
                <w:color w:val="auto"/>
              </w:rPr>
            </w:pPr>
            <w:r>
              <w:rPr>
                <w:rFonts w:ascii="Arial" w:cs="Arial" w:eastAsia="Arial" w:hAnsi="Arial"/>
                <w:sz w:val="16"/>
                <w:szCs w:val="16"/>
                <w:b w:val="1"/>
                <w:bCs w:val="1"/>
                <w:color w:val="auto"/>
                <w:w w:val="91"/>
              </w:rPr>
              <w:t>55 Almaden Blvd, 6</w:t>
            </w:r>
            <w:r>
              <w:rPr>
                <w:rFonts w:ascii="Arial" w:cs="Arial" w:eastAsia="Arial" w:hAnsi="Arial"/>
                <w:sz w:val="21"/>
                <w:szCs w:val="21"/>
                <w:b w:val="1"/>
                <w:bCs w:val="1"/>
                <w:color w:val="auto"/>
                <w:w w:val="91"/>
                <w:vertAlign w:val="superscript"/>
              </w:rPr>
              <w:t>th</w:t>
            </w:r>
            <w:r>
              <w:rPr>
                <w:rFonts w:ascii="Arial" w:cs="Arial" w:eastAsia="Arial" w:hAnsi="Arial"/>
                <w:sz w:val="16"/>
                <w:szCs w:val="16"/>
                <w:b w:val="1"/>
                <w:bCs w:val="1"/>
                <w:color w:val="auto"/>
                <w:w w:val="91"/>
              </w:rPr>
              <w:t xml:space="preserve"> Floor</w:t>
            </w:r>
          </w:p>
        </w:tc>
      </w:tr>
      <w:tr>
        <w:trPr>
          <w:trHeight w:val="189"/>
        </w:trPr>
        <w:tc>
          <w:tcPr>
            <w:tcW w:w="2800" w:type="dxa"/>
            <w:vAlign w:val="bottom"/>
          </w:tcPr>
          <w:p>
            <w:pPr>
              <w:jc w:val="center"/>
              <w:ind w:right="839"/>
              <w:spacing w:after="0"/>
              <w:rPr>
                <w:sz w:val="20"/>
                <w:szCs w:val="20"/>
                <w:color w:val="auto"/>
              </w:rPr>
            </w:pPr>
            <w:r>
              <w:rPr>
                <w:rFonts w:ascii="Arial" w:cs="Arial" w:eastAsia="Arial" w:hAnsi="Arial"/>
                <w:sz w:val="16"/>
                <w:szCs w:val="16"/>
                <w:b w:val="1"/>
                <w:bCs w:val="1"/>
                <w:color w:val="auto"/>
                <w:w w:val="95"/>
              </w:rPr>
              <w:t>Cooley LLP</w:t>
            </w:r>
          </w:p>
        </w:tc>
        <w:tc>
          <w:tcPr>
            <w:tcW w:w="5120" w:type="dxa"/>
            <w:vAlign w:val="bottom"/>
          </w:tcPr>
          <w:p>
            <w:pPr>
              <w:jc w:val="center"/>
              <w:ind w:left="3159"/>
              <w:spacing w:after="0"/>
              <w:rPr>
                <w:sz w:val="20"/>
                <w:szCs w:val="20"/>
                <w:color w:val="auto"/>
              </w:rPr>
            </w:pPr>
            <w:r>
              <w:rPr>
                <w:rFonts w:ascii="Arial" w:cs="Arial" w:eastAsia="Arial" w:hAnsi="Arial"/>
                <w:sz w:val="16"/>
                <w:szCs w:val="16"/>
                <w:b w:val="1"/>
                <w:bCs w:val="1"/>
                <w:color w:val="auto"/>
                <w:w w:val="89"/>
              </w:rPr>
              <w:t>San Jose, CA 95113</w:t>
            </w:r>
          </w:p>
        </w:tc>
      </w:tr>
      <w:tr>
        <w:trPr>
          <w:trHeight w:val="189"/>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2"/>
              </w:rPr>
              <w:t>3175 Hanover Street</w:t>
            </w:r>
          </w:p>
        </w:tc>
        <w:tc>
          <w:tcPr>
            <w:tcW w:w="5120" w:type="dxa"/>
            <w:vAlign w:val="bottom"/>
          </w:tcPr>
          <w:p>
            <w:pPr>
              <w:jc w:val="center"/>
              <w:ind w:left="3159"/>
              <w:spacing w:after="0"/>
              <w:rPr>
                <w:sz w:val="20"/>
                <w:szCs w:val="20"/>
                <w:color w:val="auto"/>
              </w:rPr>
            </w:pPr>
            <w:r>
              <w:rPr>
                <w:rFonts w:ascii="Arial" w:cs="Arial" w:eastAsia="Arial" w:hAnsi="Arial"/>
                <w:sz w:val="16"/>
                <w:szCs w:val="16"/>
                <w:b w:val="1"/>
                <w:bCs w:val="1"/>
                <w:color w:val="auto"/>
                <w:w w:val="91"/>
              </w:rPr>
              <w:t>(888) 799-9666</w:t>
            </w:r>
          </w:p>
        </w:tc>
      </w:tr>
      <w:tr>
        <w:trPr>
          <w:trHeight w:val="189"/>
        </w:trPr>
        <w:tc>
          <w:tcPr>
            <w:tcW w:w="2800" w:type="dxa"/>
            <w:vAlign w:val="bottom"/>
          </w:tcPr>
          <w:p>
            <w:pPr>
              <w:jc w:val="center"/>
              <w:ind w:right="839"/>
              <w:spacing w:after="0"/>
              <w:rPr>
                <w:sz w:val="20"/>
                <w:szCs w:val="20"/>
                <w:color w:val="auto"/>
              </w:rPr>
            </w:pPr>
            <w:r>
              <w:rPr>
                <w:rFonts w:ascii="Arial" w:cs="Arial" w:eastAsia="Arial" w:hAnsi="Arial"/>
                <w:sz w:val="16"/>
                <w:szCs w:val="16"/>
                <w:b w:val="1"/>
                <w:bCs w:val="1"/>
                <w:color w:val="auto"/>
                <w:w w:val="93"/>
              </w:rPr>
              <w:t>Palo Alto, California 94304</w:t>
            </w:r>
          </w:p>
        </w:tc>
        <w:tc>
          <w:tcPr>
            <w:tcW w:w="5120" w:type="dxa"/>
            <w:vAlign w:val="bottom"/>
          </w:tcPr>
          <w:p>
            <w:pPr>
              <w:spacing w:after="0"/>
              <w:rPr>
                <w:sz w:val="16"/>
                <w:szCs w:val="16"/>
                <w:color w:val="auto"/>
              </w:rPr>
            </w:pPr>
          </w:p>
        </w:tc>
      </w:tr>
      <w:tr>
        <w:trPr>
          <w:trHeight w:val="210"/>
        </w:trPr>
        <w:tc>
          <w:tcPr>
            <w:tcW w:w="2800" w:type="dxa"/>
            <w:vAlign w:val="bottom"/>
          </w:tcPr>
          <w:p>
            <w:pPr>
              <w:jc w:val="center"/>
              <w:ind w:right="819"/>
              <w:spacing w:after="0"/>
              <w:rPr>
                <w:sz w:val="20"/>
                <w:szCs w:val="20"/>
                <w:color w:val="auto"/>
              </w:rPr>
            </w:pPr>
            <w:r>
              <w:rPr>
                <w:rFonts w:ascii="Arial" w:cs="Arial" w:eastAsia="Arial" w:hAnsi="Arial"/>
                <w:sz w:val="16"/>
                <w:szCs w:val="16"/>
                <w:b w:val="1"/>
                <w:bCs w:val="1"/>
                <w:color w:val="auto"/>
                <w:w w:val="93"/>
              </w:rPr>
              <w:t>(650) 843-5000</w:t>
            </w:r>
          </w:p>
        </w:tc>
        <w:tc>
          <w:tcPr>
            <w:tcW w:w="5120" w:type="dxa"/>
            <w:vAlign w:val="bottom"/>
          </w:tcPr>
          <w:p>
            <w:pPr>
              <w:spacing w:after="0"/>
              <w:rPr>
                <w:sz w:val="18"/>
                <w:szCs w:val="18"/>
                <w:color w:val="auto"/>
              </w:rPr>
            </w:pPr>
          </w:p>
        </w:tc>
      </w:tr>
    </w:tbl>
    <w:p>
      <w:pPr>
        <w:spacing w:after="0" w:line="253" w:lineRule="exact"/>
        <w:rPr>
          <w:sz w:val="24"/>
          <w:szCs w:val="24"/>
          <w:color w:val="auto"/>
        </w:rPr>
      </w:pPr>
    </w:p>
    <w:p>
      <w:pPr>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0900"/>
          </w:cols>
          <w:pgMar w:left="320" w:top="1440" w:right="679" w:bottom="1440" w:gutter="0" w:footer="0" w:header="0"/>
          <w:type w:val="continuous"/>
        </w:sectPr>
      </w:pPr>
    </w:p>
    <w:p>
      <w:pPr>
        <w:spacing w:after="0" w:line="94"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71" w:lineRule="exact"/>
        <w:rPr>
          <w:sz w:val="24"/>
          <w:szCs w:val="24"/>
          <w:color w:val="auto"/>
        </w:rPr>
      </w:pPr>
    </w:p>
    <w:p>
      <w:pPr>
        <w:sectPr>
          <w:pgSz w:w="11900" w:h="16838" w:orient="portrait"/>
          <w:cols w:equalWidth="0" w:num="2">
            <w:col w:w="6920" w:space="720"/>
            <w:col w:w="3260"/>
          </w:cols>
          <w:pgMar w:left="320" w:top="1440" w:right="67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82" w:lineRule="exact"/>
        <w:rPr>
          <w:sz w:val="24"/>
          <w:szCs w:val="24"/>
          <w:color w:val="auto"/>
        </w:rPr>
      </w:pPr>
    </w:p>
    <w:p>
      <w:pPr>
        <w:sectPr>
          <w:pgSz w:w="11900" w:h="16838" w:orient="portrait"/>
          <w:cols w:equalWidth="0" w:num="2">
            <w:col w:w="6920" w:space="720"/>
            <w:col w:w="3260"/>
          </w:cols>
          <w:pgMar w:left="320" w:top="1440" w:right="679" w:bottom="1440" w:gutter="0" w:footer="0" w:header="0"/>
          <w:type w:val="continuous"/>
        </w:sectPr>
      </w:pPr>
    </w:p>
    <w:p>
      <w:pPr>
        <w:ind w:left="764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0900"/>
          </w:cols>
          <w:pgMar w:left="320" w:top="1440" w:right="679" w:bottom="1440" w:gutter="0" w:footer="0" w:header="0"/>
          <w:type w:val="continuous"/>
        </w:sectPr>
      </w:pPr>
    </w:p>
    <w:p>
      <w:pPr>
        <w:spacing w:after="0" w:line="217" w:lineRule="exact"/>
        <w:rPr>
          <w:sz w:val="24"/>
          <w:szCs w:val="24"/>
          <w:color w:val="auto"/>
        </w:rPr>
      </w:pPr>
    </w:p>
    <w:p>
      <w:pPr>
        <w:ind w:right="24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0900"/>
          </w:cols>
          <w:pgMar w:left="320" w:top="1440" w:right="679" w:bottom="1440" w:gutter="0" w:footer="0" w:header="0"/>
          <w:type w:val="continuous"/>
        </w:sectPr>
      </w:pPr>
    </w:p>
    <w:bookmarkStart w:id="1" w:name="page2"/>
    <w:bookmarkEnd w:id="1"/>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540" w:type="dxa"/>
            <w:vAlign w:val="bottom"/>
            <w:tcBorders>
              <w:top w:val="single" w:sz="8" w:color="auto"/>
            </w:tcBorders>
          </w:tcPr>
          <w:p>
            <w:pPr>
              <w:spacing w:after="0"/>
              <w:rPr>
                <w:sz w:val="24"/>
                <w:szCs w:val="24"/>
                <w:color w:val="auto"/>
              </w:rPr>
            </w:pPr>
          </w:p>
        </w:tc>
        <w:tc>
          <w:tcPr>
            <w:tcW w:w="3020" w:type="dxa"/>
            <w:vAlign w:val="bottom"/>
            <w:tcBorders>
              <w:top w:val="single" w:sz="8" w:color="auto"/>
              <w:right w:val="single" w:sz="8" w:color="auto"/>
            </w:tcBorders>
            <w:vMerge w:val="restart"/>
          </w:tcPr>
          <w:p>
            <w:pPr>
              <w:jc w:val="center"/>
              <w:ind w:right="470"/>
              <w:spacing w:after="0"/>
              <w:rPr>
                <w:sz w:val="20"/>
                <w:szCs w:val="20"/>
                <w:color w:val="auto"/>
              </w:rPr>
            </w:pPr>
            <w:r>
              <w:rPr>
                <w:rFonts w:ascii="Arial" w:cs="Arial" w:eastAsia="Arial" w:hAnsi="Arial"/>
                <w:sz w:val="18"/>
                <w:szCs w:val="18"/>
                <w:b w:val="1"/>
                <w:bCs w:val="1"/>
                <w:color w:val="auto"/>
                <w:w w:val="89"/>
              </w:rPr>
              <w:t>Title of Securities</w:t>
            </w:r>
          </w:p>
        </w:tc>
        <w:tc>
          <w:tcPr>
            <w:tcW w:w="2080" w:type="dxa"/>
            <w:vAlign w:val="bottom"/>
            <w:tcBorders>
              <w:top w:val="single" w:sz="8" w:color="auto"/>
              <w:right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20" w:type="dxa"/>
            <w:vAlign w:val="bottom"/>
            <w:tcBorders>
              <w:right w:val="single" w:sz="8" w:color="auto"/>
            </w:tcBorders>
            <w:vMerge w:val="continue"/>
          </w:tcPr>
          <w:p>
            <w:pPr>
              <w:spacing w:after="0"/>
              <w:rPr>
                <w:sz w:val="18"/>
                <w:szCs w:val="18"/>
                <w:color w:val="auto"/>
              </w:rPr>
            </w:pPr>
          </w:p>
        </w:tc>
        <w:tc>
          <w:tcPr>
            <w:tcW w:w="208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b w:val="1"/>
                <w:bCs w:val="1"/>
                <w:color w:val="auto"/>
              </w:rPr>
              <w:t>Amount to be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3020" w:type="dxa"/>
            <w:vAlign w:val="bottom"/>
            <w:tcBorders>
              <w:right w:val="single" w:sz="8" w:color="auto"/>
            </w:tcBorders>
            <w:vMerge w:val="restart"/>
          </w:tcPr>
          <w:p>
            <w:pPr>
              <w:jc w:val="center"/>
              <w:ind w:right="450"/>
              <w:spacing w:after="0"/>
              <w:rPr>
                <w:sz w:val="20"/>
                <w:szCs w:val="20"/>
                <w:color w:val="auto"/>
              </w:rPr>
            </w:pPr>
            <w:r>
              <w:rPr>
                <w:rFonts w:ascii="Arial" w:cs="Arial" w:eastAsia="Arial" w:hAnsi="Arial"/>
                <w:sz w:val="18"/>
                <w:szCs w:val="18"/>
                <w:b w:val="1"/>
                <w:bCs w:val="1"/>
                <w:color w:val="auto"/>
                <w:w w:val="87"/>
              </w:rPr>
              <w:t>to be Registered</w:t>
            </w:r>
          </w:p>
        </w:tc>
        <w:tc>
          <w:tcPr>
            <w:tcW w:w="208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Share</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229"/>
        </w:trPr>
        <w:tc>
          <w:tcPr>
            <w:tcW w:w="540" w:type="dxa"/>
            <w:vAlign w:val="bottom"/>
            <w:tcBorders>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vMerge w:val="continue"/>
          </w:tcPr>
          <w:p>
            <w:pPr>
              <w:spacing w:after="0"/>
              <w:rPr>
                <w:sz w:val="19"/>
                <w:szCs w:val="19"/>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1900" w:type="dxa"/>
            <w:vAlign w:val="bottom"/>
            <w:tcBorders>
              <w:bottom w:val="single" w:sz="8" w:color="auto"/>
              <w:right w:val="single" w:sz="8" w:color="auto"/>
            </w:tcBorders>
            <w:vMerge w:val="continue"/>
          </w:tcPr>
          <w:p>
            <w:pPr>
              <w:spacing w:after="0"/>
              <w:rPr>
                <w:sz w:val="19"/>
                <w:szCs w:val="19"/>
                <w:color w:val="auto"/>
              </w:rPr>
            </w:pPr>
          </w:p>
        </w:tc>
        <w:tc>
          <w:tcPr>
            <w:tcW w:w="1720" w:type="dxa"/>
            <w:vAlign w:val="bottom"/>
            <w:tcBorders>
              <w:bottom w:val="single" w:sz="8" w:color="auto"/>
              <w:right w:val="single" w:sz="8" w:color="auto"/>
            </w:tcBorders>
            <w:vMerge w:val="continue"/>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560" w:type="dxa"/>
            <w:vAlign w:val="bottom"/>
            <w:tcBorders>
              <w:right w:val="single" w:sz="8" w:color="auto"/>
            </w:tcBorders>
            <w:gridSpan w:val="2"/>
          </w:tcPr>
          <w:p>
            <w:pPr>
              <w:ind w:left="20"/>
              <w:spacing w:after="0" w:line="169" w:lineRule="exact"/>
              <w:rPr>
                <w:sz w:val="20"/>
                <w:szCs w:val="20"/>
                <w:color w:val="auto"/>
              </w:rPr>
            </w:pPr>
            <w:r>
              <w:rPr>
                <w:rFonts w:ascii="Arial" w:cs="Arial" w:eastAsia="Arial" w:hAnsi="Arial"/>
                <w:sz w:val="18"/>
                <w:szCs w:val="18"/>
                <w:color w:val="auto"/>
                <w:w w:val="95"/>
              </w:rPr>
              <w:t>Class A Common Stock, par value $0.001 per</w:t>
            </w:r>
          </w:p>
        </w:tc>
        <w:tc>
          <w:tcPr>
            <w:tcW w:w="20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w:t>
            </w:r>
          </w:p>
        </w:tc>
        <w:tc>
          <w:tcPr>
            <w:tcW w:w="302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Pr>
          <w:p>
            <w:pPr>
              <w:ind w:left="20"/>
              <w:spacing w:after="0"/>
              <w:rPr>
                <w:sz w:val="20"/>
                <w:szCs w:val="20"/>
                <w:color w:val="auto"/>
              </w:rPr>
            </w:pPr>
            <w:r>
              <w:rPr>
                <w:rFonts w:ascii="Arial" w:cs="Arial" w:eastAsia="Arial" w:hAnsi="Arial"/>
                <w:sz w:val="18"/>
                <w:szCs w:val="18"/>
                <w:color w:val="auto"/>
                <w:w w:val="90"/>
              </w:rPr>
              <w:t>– 2019</w:t>
            </w: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Equity Incentive Plan</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14,677,461(2)</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$331.60(4)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$4,867,046,068</w:t>
            </w: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$530,995</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ind w:left="20"/>
              <w:spacing w:after="0"/>
              <w:rPr>
                <w:sz w:val="20"/>
                <w:szCs w:val="20"/>
                <w:color w:val="auto"/>
              </w:rPr>
            </w:pPr>
            <w:r>
              <w:rPr>
                <w:rFonts w:ascii="Arial" w:cs="Arial" w:eastAsia="Arial" w:hAnsi="Arial"/>
                <w:sz w:val="18"/>
                <w:szCs w:val="18"/>
                <w:color w:val="auto"/>
                <w:w w:val="90"/>
              </w:rPr>
              <w:t>– 2019</w:t>
            </w: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2,935,492(3)</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$281.86(5)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$827,397,775</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$90,269</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ind w:left="20"/>
              <w:spacing w:after="0"/>
              <w:rPr>
                <w:sz w:val="20"/>
                <w:szCs w:val="20"/>
                <w:color w:val="auto"/>
              </w:rPr>
            </w:pPr>
            <w:r>
              <w:rPr>
                <w:rFonts w:ascii="Arial" w:cs="Arial" w:eastAsia="Arial" w:hAnsi="Arial"/>
                <w:sz w:val="18"/>
                <w:szCs w:val="18"/>
                <w:color w:val="auto"/>
              </w:rPr>
              <w:t>Total</w:t>
            </w:r>
          </w:p>
        </w:tc>
        <w:tc>
          <w:tcPr>
            <w:tcW w:w="30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17,612,953</w:t>
            </w:r>
          </w:p>
        </w:tc>
        <w:tc>
          <w:tcPr>
            <w:tcW w:w="19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$5,694,443,843</w:t>
            </w: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$621,264</w:t>
            </w:r>
          </w:p>
        </w:tc>
        <w:tc>
          <w:tcPr>
            <w:tcW w:w="0" w:type="dxa"/>
            <w:vAlign w:val="bottom"/>
          </w:tcPr>
          <w:p>
            <w:pPr>
              <w:spacing w:after="0"/>
              <w:rPr>
                <w:sz w:val="1"/>
                <w:szCs w:val="1"/>
                <w:color w:val="auto"/>
              </w:rPr>
            </w:pPr>
          </w:p>
        </w:tc>
      </w:tr>
      <w:tr>
        <w:trPr>
          <w:trHeight w:val="27"/>
        </w:trPr>
        <w:tc>
          <w:tcPr>
            <w:tcW w:w="54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hanging="652"/>
        <w:spacing w:after="0" w:line="259" w:lineRule="auto"/>
        <w:tabs>
          <w:tab w:leader="none" w:pos="408"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Registrant’s Class A common stock that become issuable under the plans set forth herein by reason of any stock dividend, stock split, recapitalization, or other similar transaction effected that results in an increase to the number of outstanding shares of Registrant’s Class A common stock.</w:t>
      </w:r>
    </w:p>
    <w:p>
      <w:pPr>
        <w:spacing w:after="0" w:line="159" w:lineRule="exact"/>
        <w:rPr>
          <w:rFonts w:ascii="Arial" w:cs="Arial" w:eastAsia="Arial" w:hAnsi="Arial"/>
          <w:sz w:val="18"/>
          <w:szCs w:val="18"/>
          <w:color w:val="auto"/>
        </w:rPr>
      </w:pPr>
    </w:p>
    <w:p>
      <w:pPr>
        <w:ind w:left="660" w:hanging="652"/>
        <w:spacing w:after="0" w:line="263" w:lineRule="auto"/>
        <w:tabs>
          <w:tab w:leader="none" w:pos="407"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(i) an automatic annual increase equal to 5% of the total number of shares of the Registrant’s Class A common stock and Class B common stock outstanding on January 31 of the preceding fiscal year, which annual increase is provided by the Registrant’s 2019 Equity Incentive Plan (as amended, the “</w:t>
      </w:r>
      <w:r>
        <w:rPr>
          <w:rFonts w:ascii="Arial" w:cs="Arial" w:eastAsia="Arial" w:hAnsi="Arial"/>
          <w:sz w:val="18"/>
          <w:szCs w:val="18"/>
          <w:b w:val="1"/>
          <w:bCs w:val="1"/>
          <w:i w:val="1"/>
          <w:iCs w:val="1"/>
          <w:color w:val="auto"/>
        </w:rPr>
        <w:t>2019 Plan</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660" w:hanging="652"/>
        <w:spacing w:after="0" w:line="263"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equal to 1% of the total number of shares of the Registrant’s Class A common stock and Class B common stock outstanding on January 31 of the preceding fiscal year, which annual increase is provided by the Registrant’s 2019 Employee Stock Purchase Plan (the “</w:t>
      </w:r>
      <w:r>
        <w:rPr>
          <w:rFonts w:ascii="Arial" w:cs="Arial" w:eastAsia="Arial" w:hAnsi="Arial"/>
          <w:sz w:val="18"/>
          <w:szCs w:val="18"/>
          <w:b w:val="1"/>
          <w:bCs w:val="1"/>
          <w:i w:val="1"/>
          <w:iCs w:val="1"/>
          <w:color w:val="auto"/>
        </w:rPr>
        <w:t>2019 ESPP</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660" w:hanging="652"/>
        <w:spacing w:after="0" w:line="308" w:lineRule="auto"/>
        <w:tabs>
          <w:tab w:leader="none" w:pos="411"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Rules 457(c) and (h) solely for the purpose of calculating the registration fee on the basis of the average of the high and low prices of the Registrant’s Class A common stock as reported on The Nasdaq Global Select Market on March 17, 2021.</w:t>
      </w:r>
    </w:p>
    <w:p>
      <w:pPr>
        <w:spacing w:after="0" w:line="119" w:lineRule="exact"/>
        <w:rPr>
          <w:rFonts w:ascii="Arial" w:cs="Arial" w:eastAsia="Arial" w:hAnsi="Arial"/>
          <w:sz w:val="17"/>
          <w:szCs w:val="17"/>
          <w:color w:val="auto"/>
        </w:rPr>
      </w:pPr>
    </w:p>
    <w:p>
      <w:pPr>
        <w:ind w:left="660" w:hanging="652"/>
        <w:spacing w:after="0" w:line="263" w:lineRule="auto"/>
        <w:tabs>
          <w:tab w:leader="none" w:pos="411"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Rules 457(c) and (h) solely for the purpose of calculating the registration fee on the basis of the average of the high and low prices of the Registrant’s Class A common stock as reported on The Nasdaq Global Select Market on March 17, 2021, multiplied by 85%, which is the percentage of the price per share applicable to purchases under the 2019 ESPP.</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is filing this Registration Statement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to register (i) 14,677,461 additional shares of its Class A common stock under the 2019 Plan, pursuant to the provisions of the 2019 Plan providing for an automatic increase in the number of shares Class A common stock reserved and available for issuance under the 2019 Plan on February 1, 2021 and (ii) 2,935,492 additional shares of its Class A common stock under the 2019 ESPP, pursuant to the provisions of 2019 ESPP providing for an automatic increase in the number of shares of Class A common stock reserved and available for issuance under the 2019 ESPP on February 1, 2021. In accordance with the instructional note to Part I of Form S-8 as promulgated by the Commission, the information specified by Part I of the Form S-8 has been omitted from this Registration Statement.</w:t>
      </w:r>
    </w:p>
    <w:p>
      <w:pPr>
        <w:spacing w:after="0" w:line="195"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Pursuant to General Instruction E of Form S-8, the contents of the Registration Statements on Form S-8 filed with the Commission on April 23, 2019 (</w:t>
      </w:r>
      <w:hyperlink r:id="rId11">
        <w:r>
          <w:rPr>
            <w:rFonts w:ascii="Arial" w:cs="Arial" w:eastAsia="Arial" w:hAnsi="Arial"/>
            <w:sz w:val="18"/>
            <w:szCs w:val="18"/>
            <w:u w:val="single" w:color="auto"/>
            <w:color w:val="0000FF"/>
          </w:rPr>
          <w:t xml:space="preserve">File No. </w:t>
        </w:r>
      </w:hyperlink>
      <w:r>
        <w:rPr>
          <w:rFonts w:ascii="Arial" w:cs="Arial" w:eastAsia="Arial" w:hAnsi="Arial"/>
          <w:sz w:val="18"/>
          <w:szCs w:val="18"/>
          <w:color w:val="auto"/>
        </w:rPr>
        <w:t>333</w:t>
      </w:r>
      <w:hyperlink r:id="rId11">
        <w:r>
          <w:rPr>
            <w:rFonts w:ascii="Arial" w:cs="Arial" w:eastAsia="Arial" w:hAnsi="Arial"/>
            <w:sz w:val="18"/>
            <w:szCs w:val="18"/>
            <w:u w:val="single" w:color="auto"/>
            <w:color w:val="0000FF"/>
          </w:rPr>
          <w:t>-230997</w:t>
        </w:r>
      </w:hyperlink>
      <w:r>
        <w:rPr>
          <w:rFonts w:ascii="Arial" w:cs="Arial" w:eastAsia="Arial" w:hAnsi="Arial"/>
          <w:sz w:val="18"/>
          <w:szCs w:val="18"/>
          <w:color w:val="auto"/>
        </w:rPr>
        <w:t>) and March 20, 2020 (</w:t>
      </w:r>
      <w:hyperlink r:id="rId12">
        <w:r>
          <w:rPr>
            <w:rFonts w:ascii="Arial" w:cs="Arial" w:eastAsia="Arial" w:hAnsi="Arial"/>
            <w:sz w:val="18"/>
            <w:szCs w:val="18"/>
            <w:u w:val="single" w:color="auto"/>
            <w:color w:val="0000FF"/>
          </w:rPr>
          <w:t>File No. 333-237348</w:t>
        </w:r>
      </w:hyperlink>
      <w:r>
        <w:rPr>
          <w:rFonts w:ascii="Arial" w:cs="Arial" w:eastAsia="Arial" w:hAnsi="Arial"/>
          <w:sz w:val="18"/>
          <w:szCs w:val="18"/>
          <w:color w:val="auto"/>
        </w:rPr>
        <w:t>) are hereby incorporated by reference in this Registration Statement to the extent not replaced hereby.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85" w:lineRule="exact"/>
        <w:rPr>
          <w:rFonts w:ascii="Arial" w:cs="Arial" w:eastAsia="Arial" w:hAnsi="Arial"/>
          <w:sz w:val="18"/>
          <w:szCs w:val="18"/>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INCORPORATION OF CERTAIN DOCUMENTS BY REFERENCE</w:t>
      </w:r>
    </w:p>
    <w:p>
      <w:pPr>
        <w:spacing w:after="0" w:line="202"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with the Commission are incorporated by reference into this Registration Statement:</w:t>
      </w:r>
    </w:p>
    <w:p>
      <w:pPr>
        <w:spacing w:after="0" w:line="181" w:lineRule="exact"/>
        <w:rPr>
          <w:rFonts w:ascii="Arial" w:cs="Arial" w:eastAsia="Arial" w:hAnsi="Arial"/>
          <w:sz w:val="18"/>
          <w:szCs w:val="18"/>
          <w:color w:val="auto"/>
        </w:rPr>
      </w:pPr>
    </w:p>
    <w:p>
      <w:pPr>
        <w:jc w:val="both"/>
        <w:ind w:firstLine="553"/>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The Registrant’s Annual Report on Form 10-K for the fiscal year ended January 31, 2021 filed on March 18, 2021 (the "</w:t>
      </w:r>
      <w:hyperlink r:id="rId13">
        <w:r>
          <w:rPr>
            <w:rFonts w:ascii="Arial" w:cs="Arial" w:eastAsia="Arial" w:hAnsi="Arial"/>
            <w:sz w:val="18"/>
            <w:szCs w:val="18"/>
            <w:u w:val="single" w:color="auto"/>
            <w:color w:val="0000FF"/>
          </w:rPr>
          <w:t>Annual Report</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which</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audited financial statements for the Registrant’s latest fiscal year, including the information to be incorporated by reference into the Annual Report from the Registrant’s definitive proxy statement on Schedule 14A, to be filed with the Commission.</w:t>
      </w:r>
    </w:p>
    <w:p>
      <w:pPr>
        <w:spacing w:after="0" w:line="139" w:lineRule="exact"/>
        <w:rPr>
          <w:rFonts w:ascii="Arial" w:cs="Arial" w:eastAsia="Arial" w:hAnsi="Arial"/>
          <w:sz w:val="18"/>
          <w:szCs w:val="18"/>
          <w:color w:val="auto"/>
        </w:rPr>
      </w:pPr>
    </w:p>
    <w:p>
      <w:pPr>
        <w:jc w:val="both"/>
        <w:ind w:firstLine="511"/>
        <w:spacing w:after="0" w:line="263" w:lineRule="auto"/>
        <w:tabs>
          <w:tab w:leader="none" w:pos="70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Class A Common Stock which is contained in a registration statement on </w:t>
      </w:r>
      <w:hyperlink r:id="rId14">
        <w:r>
          <w:rPr>
            <w:rFonts w:ascii="Arial" w:cs="Arial" w:eastAsia="Arial" w:hAnsi="Arial"/>
            <w:sz w:val="18"/>
            <w:szCs w:val="18"/>
            <w:u w:val="single" w:color="auto"/>
            <w:color w:val="0000FF"/>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April 8, 2019 (File No. 001-38865)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xml:space="preserve">”), including any amendment or report filed for the purpose of updating such description, including </w:t>
      </w:r>
      <w:hyperlink r:id="rId15">
        <w:r>
          <w:rPr>
            <w:rFonts w:ascii="Arial" w:cs="Arial" w:eastAsia="Arial" w:hAnsi="Arial"/>
            <w:sz w:val="18"/>
            <w:szCs w:val="18"/>
            <w:u w:val="single" w:color="auto"/>
            <w:color w:val="0000FF"/>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w:t>
      </w:r>
    </w:p>
    <w:p>
      <w:pPr>
        <w:spacing w:after="0" w:line="156" w:lineRule="exact"/>
        <w:rPr>
          <w:rFonts w:ascii="Arial" w:cs="Arial" w:eastAsia="Arial" w:hAnsi="Arial"/>
          <w:sz w:val="18"/>
          <w:szCs w:val="18"/>
          <w:color w:val="auto"/>
        </w:rPr>
      </w:pPr>
    </w:p>
    <w:p>
      <w:pPr>
        <w:jc w:val="both"/>
        <w:ind w:firstLine="461"/>
        <w:spacing w:after="0" w:line="290" w:lineRule="auto"/>
        <w:tabs>
          <w:tab w:leader="none" w:pos="701"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1"/>
          </w:tcPr>
          <w:p>
            <w:pPr>
              <w:spacing w:after="0"/>
              <w:rPr>
                <w:sz w:val="20"/>
                <w:szCs w:val="20"/>
                <w:color w:val="auto"/>
              </w:rPr>
            </w:pPr>
            <w:r>
              <w:rPr>
                <w:rFonts w:ascii="Arial" w:cs="Arial" w:eastAsia="Arial" w:hAnsi="Arial"/>
                <w:sz w:val="18"/>
                <w:szCs w:val="18"/>
                <w:b w:val="1"/>
                <w:bCs w:val="1"/>
                <w:color w:val="auto"/>
              </w:rPr>
              <w:t>ITEM 8.  EXHIBITS</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0" w:type="dxa"/>
            <w:vAlign w:val="bottom"/>
            <w:gridSpan w:val="5"/>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13"/>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74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3"/>
              </w:rPr>
              <w:t>Form</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File Number</w:t>
            </w:r>
          </w:p>
        </w:tc>
        <w:tc>
          <w:tcPr>
            <w:tcW w:w="12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Exhibit</w:t>
            </w:r>
          </w:p>
        </w:tc>
        <w:tc>
          <w:tcPr>
            <w:tcW w:w="21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13"/>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120" w:type="dxa"/>
            <w:vAlign w:val="bottom"/>
            <w:tcBorders>
              <w:top w:val="single" w:sz="8" w:color="auto"/>
            </w:tcBorders>
            <w:gridSpan w:val="17"/>
          </w:tcPr>
          <w:p>
            <w:pPr>
              <w:spacing w:after="0" w:line="182" w:lineRule="exact"/>
              <w:rPr>
                <w:rFonts w:ascii="Arial" w:cs="Arial" w:eastAsia="Arial" w:hAnsi="Arial"/>
                <w:sz w:val="18"/>
                <w:szCs w:val="18"/>
                <w:color w:val="0000FF"/>
                <w:w w:val="96"/>
              </w:rPr>
            </w:pPr>
            <w:hyperlink r:id="rId16">
              <w:r>
                <w:rPr>
                  <w:rFonts w:ascii="Arial" w:cs="Arial" w:eastAsia="Arial" w:hAnsi="Arial"/>
                  <w:sz w:val="18"/>
                  <w:szCs w:val="18"/>
                  <w:color w:val="0000FF"/>
                  <w:w w:val="96"/>
                </w:rPr>
                <w:t>Amended and Restated Certificate of Incorporation of</w:t>
              </w:r>
            </w:hyperlink>
          </w:p>
        </w:tc>
        <w:tc>
          <w:tcPr>
            <w:tcW w:w="100" w:type="dxa"/>
            <w:vAlign w:val="bottom"/>
          </w:tcPr>
          <w:p>
            <w:pPr>
              <w:spacing w:after="0"/>
              <w:rPr>
                <w:sz w:val="15"/>
                <w:szCs w:val="15"/>
                <w:color w:val="auto"/>
              </w:rPr>
            </w:pPr>
          </w:p>
        </w:tc>
        <w:tc>
          <w:tcPr>
            <w:tcW w:w="740" w:type="dxa"/>
            <w:vAlign w:val="bottom"/>
            <w:tcBorders>
              <w:top w:val="single" w:sz="8" w:color="auto"/>
            </w:tcBorders>
          </w:tcPr>
          <w:p>
            <w:pPr>
              <w:jc w:val="center"/>
              <w:ind w:left="170"/>
              <w:spacing w:after="0" w:line="182" w:lineRule="exact"/>
              <w:rPr>
                <w:sz w:val="20"/>
                <w:szCs w:val="20"/>
                <w:color w:val="auto"/>
              </w:rPr>
            </w:pPr>
            <w:r>
              <w:rPr>
                <w:rFonts w:ascii="Arial" w:cs="Arial" w:eastAsia="Arial" w:hAnsi="Arial"/>
                <w:sz w:val="18"/>
                <w:szCs w:val="18"/>
                <w:color w:val="auto"/>
                <w:w w:val="99"/>
              </w:rPr>
              <w:t>8-K</w:t>
            </w: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001-38865</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center"/>
              <w:ind w:right="70"/>
              <w:spacing w:after="0" w:line="182" w:lineRule="exact"/>
              <w:rPr>
                <w:sz w:val="20"/>
                <w:szCs w:val="20"/>
                <w:color w:val="auto"/>
              </w:rPr>
            </w:pPr>
            <w:r>
              <w:rPr>
                <w:rFonts w:ascii="Arial" w:cs="Arial" w:eastAsia="Arial" w:hAnsi="Arial"/>
                <w:sz w:val="18"/>
                <w:szCs w:val="18"/>
                <w:color w:val="auto"/>
                <w:w w:val="87"/>
              </w:rPr>
              <w:t>3.1</w:t>
            </w:r>
          </w:p>
        </w:tc>
        <w:tc>
          <w:tcPr>
            <w:tcW w:w="2100" w:type="dxa"/>
            <w:vAlign w:val="bottom"/>
            <w:tcBorders>
              <w:top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5"/>
              </w:rPr>
              <w:t>April 23, 2019</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6">
              <w:r>
                <w:rPr>
                  <w:rFonts w:ascii="Arial" w:cs="Arial" w:eastAsia="Arial" w:hAnsi="Arial"/>
                  <w:sz w:val="18"/>
                  <w:szCs w:val="18"/>
                  <w:color w:val="0000FF"/>
                </w:rPr>
                <w:t>Zoom Video Communications, Inc</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00" w:type="dxa"/>
            <w:vAlign w:val="bottom"/>
            <w:tcBorders>
              <w:top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18"/>
          </w:tcPr>
          <w:p>
            <w:pPr>
              <w:spacing w:after="0"/>
              <w:rPr>
                <w:rFonts w:ascii="Arial" w:cs="Arial" w:eastAsia="Arial" w:hAnsi="Arial"/>
                <w:sz w:val="18"/>
                <w:szCs w:val="18"/>
                <w:color w:val="0000FF"/>
              </w:rPr>
            </w:pPr>
            <w:hyperlink r:id="rId17">
              <w:r>
                <w:rPr>
                  <w:rFonts w:ascii="Arial" w:cs="Arial" w:eastAsia="Arial" w:hAnsi="Arial"/>
                  <w:sz w:val="18"/>
                  <w:szCs w:val="18"/>
                  <w:color w:val="0000FF"/>
                </w:rPr>
                <w:t>Amended and Restated Bylaws of Zoom Video</w:t>
              </w:r>
            </w:hyperlink>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c>
          <w:tcPr>
            <w:tcW w:w="1640" w:type="dxa"/>
            <w:vAlign w:val="bottom"/>
            <w:gridSpan w:val="3"/>
          </w:tcPr>
          <w:p>
            <w:pPr>
              <w:ind w:left="400"/>
              <w:spacing w:after="0"/>
              <w:rPr>
                <w:sz w:val="20"/>
                <w:szCs w:val="20"/>
                <w:color w:val="auto"/>
              </w:rPr>
            </w:pPr>
            <w:r>
              <w:rPr>
                <w:rFonts w:ascii="Arial" w:cs="Arial" w:eastAsia="Arial" w:hAnsi="Arial"/>
                <w:sz w:val="18"/>
                <w:szCs w:val="18"/>
                <w:color w:val="auto"/>
              </w:rPr>
              <w:t>333-230444</w:t>
            </w:r>
          </w:p>
        </w:tc>
        <w:tc>
          <w:tcPr>
            <w:tcW w:w="1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87"/>
              </w:rPr>
              <w:t>3.4</w:t>
            </w:r>
          </w:p>
        </w:tc>
        <w:tc>
          <w:tcPr>
            <w:tcW w:w="21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April 8, 2019</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7">
              <w:r>
                <w:rPr>
                  <w:rFonts w:ascii="Arial" w:cs="Arial" w:eastAsia="Arial" w:hAnsi="Arial"/>
                  <w:sz w:val="18"/>
                  <w:szCs w:val="18"/>
                  <w:color w:val="0000FF"/>
                </w:rPr>
                <w:t>Communications, Inc.</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18"/>
          </w:tcPr>
          <w:p>
            <w:pPr>
              <w:spacing w:after="0"/>
              <w:rPr>
                <w:rFonts w:ascii="Arial" w:cs="Arial" w:eastAsia="Arial" w:hAnsi="Arial"/>
                <w:sz w:val="18"/>
                <w:szCs w:val="18"/>
                <w:color w:val="0000FF"/>
              </w:rPr>
            </w:pPr>
            <w:hyperlink r:id="rId18">
              <w:r>
                <w:rPr>
                  <w:rFonts w:ascii="Arial" w:cs="Arial" w:eastAsia="Arial" w:hAnsi="Arial"/>
                  <w:sz w:val="18"/>
                  <w:szCs w:val="18"/>
                  <w:color w:val="0000FF"/>
                </w:rPr>
                <w:t>Form of Class A common stock certificate of the</w:t>
              </w:r>
            </w:hyperlink>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c>
          <w:tcPr>
            <w:tcW w:w="1640" w:type="dxa"/>
            <w:vAlign w:val="bottom"/>
            <w:gridSpan w:val="3"/>
          </w:tcPr>
          <w:p>
            <w:pPr>
              <w:ind w:left="400"/>
              <w:spacing w:after="0"/>
              <w:rPr>
                <w:sz w:val="20"/>
                <w:szCs w:val="20"/>
                <w:color w:val="auto"/>
              </w:rPr>
            </w:pPr>
            <w:r>
              <w:rPr>
                <w:rFonts w:ascii="Arial" w:cs="Arial" w:eastAsia="Arial" w:hAnsi="Arial"/>
                <w:sz w:val="18"/>
                <w:szCs w:val="18"/>
                <w:color w:val="auto"/>
              </w:rPr>
              <w:t>333-230444</w:t>
            </w:r>
          </w:p>
        </w:tc>
        <w:tc>
          <w:tcPr>
            <w:tcW w:w="1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87"/>
              </w:rPr>
              <w:t>4.1</w:t>
            </w:r>
          </w:p>
        </w:tc>
        <w:tc>
          <w:tcPr>
            <w:tcW w:w="21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April 8, 2019</w:t>
            </w:r>
          </w:p>
        </w:tc>
        <w:tc>
          <w:tcPr>
            <w:tcW w:w="0" w:type="dxa"/>
            <w:vAlign w:val="bottom"/>
          </w:tcPr>
          <w:p>
            <w:pPr>
              <w:spacing w:after="0"/>
              <w:rPr>
                <w:sz w:val="1"/>
                <w:szCs w:val="1"/>
                <w:color w:val="auto"/>
              </w:rPr>
            </w:pPr>
          </w:p>
        </w:tc>
      </w:tr>
      <w:tr>
        <w:trPr>
          <w:trHeight w:val="155"/>
        </w:trPr>
        <w:tc>
          <w:tcPr>
            <w:tcW w:w="1060" w:type="dxa"/>
            <w:vAlign w:val="bottom"/>
            <w:vMerge w:val="restart"/>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8">
              <w:r>
                <w:rPr>
                  <w:rFonts w:ascii="Arial" w:cs="Arial" w:eastAsia="Arial" w:hAnsi="Arial"/>
                  <w:sz w:val="18"/>
                  <w:szCs w:val="18"/>
                  <w:color w:val="0000FF"/>
                  <w:w w:val="87"/>
                </w:rPr>
                <w:t>Registrant.</w:t>
              </w:r>
            </w:hyperlink>
          </w:p>
        </w:tc>
        <w:tc>
          <w:tcPr>
            <w:tcW w:w="274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7">
              <w:r>
                <w:rPr>
                  <w:rFonts w:ascii="Arial" w:cs="Arial" w:eastAsia="Arial" w:hAnsi="Arial"/>
                  <w:sz w:val="18"/>
                  <w:szCs w:val="18"/>
                  <w:color w:val="0000FF"/>
                  <w:w w:val="92"/>
                </w:rPr>
                <w:t>Opinion of Cooley LLP.</w:t>
              </w:r>
            </w:hyperlink>
          </w:p>
        </w:tc>
        <w:tc>
          <w:tcPr>
            <w:tcW w:w="2480" w:type="dxa"/>
            <w:vAlign w:val="bottom"/>
            <w:gridSpan w:val="12"/>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Consent of Cooley LLP (included in Exhibit 5.1).</w:t>
              </w:r>
            </w:hyperlink>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gridSpan w:val="18"/>
          </w:tcPr>
          <w:p>
            <w:pPr>
              <w:spacing w:after="0"/>
              <w:rPr>
                <w:rFonts w:ascii="Arial" w:cs="Arial" w:eastAsia="Arial" w:hAnsi="Arial"/>
                <w:sz w:val="18"/>
                <w:szCs w:val="18"/>
                <w:color w:val="0000FF"/>
                <w:w w:val="95"/>
              </w:rPr>
            </w:pPr>
            <w:hyperlink w:anchor="page8">
              <w:r>
                <w:rPr>
                  <w:rFonts w:ascii="Arial" w:cs="Arial" w:eastAsia="Arial" w:hAnsi="Arial"/>
                  <w:sz w:val="18"/>
                  <w:szCs w:val="18"/>
                  <w:color w:val="0000FF"/>
                  <w:w w:val="95"/>
                </w:rPr>
                <w:t>Consent of KPMG LLP, Independent Registered Public</w:t>
              </w:r>
            </w:hyperlink>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w:anchor="page8">
              <w:r>
                <w:rPr>
                  <w:rFonts w:ascii="Arial" w:cs="Arial" w:eastAsia="Arial" w:hAnsi="Arial"/>
                  <w:sz w:val="18"/>
                  <w:szCs w:val="18"/>
                  <w:color w:val="0000FF"/>
                  <w:w w:val="93"/>
                </w:rPr>
                <w:t>Accounting Firm.</w:t>
              </w:r>
            </w:hyperlink>
          </w:p>
        </w:tc>
        <w:tc>
          <w:tcPr>
            <w:tcW w:w="2700" w:type="dxa"/>
            <w:vAlign w:val="bottom"/>
            <w:tcBorders>
              <w:top w:val="single" w:sz="8" w:color="0000FF"/>
            </w:tcBorders>
            <w:gridSpan w:val="13"/>
          </w:tcPr>
          <w:p>
            <w:pPr>
              <w:spacing w:after="0"/>
              <w:rPr>
                <w:sz w:val="13"/>
                <w:szCs w:val="13"/>
                <w:color w:val="auto"/>
              </w:rPr>
            </w:pPr>
          </w:p>
        </w:tc>
        <w:tc>
          <w:tcPr>
            <w:tcW w:w="2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18"/>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Power of Attorney (included on the signature page of</w:t>
              </w:r>
            </w:hyperlink>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this Form S-8).</w:t>
              </w:r>
            </w:hyperlink>
          </w:p>
        </w:tc>
        <w:tc>
          <w:tcPr>
            <w:tcW w:w="38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18"/>
          </w:tcPr>
          <w:p>
            <w:pPr>
              <w:spacing w:after="0"/>
              <w:rPr>
                <w:rFonts w:ascii="Arial" w:cs="Arial" w:eastAsia="Arial" w:hAnsi="Arial"/>
                <w:sz w:val="18"/>
                <w:szCs w:val="18"/>
                <w:color w:val="0000FF"/>
              </w:rPr>
            </w:pPr>
            <w:hyperlink r:id="rId19">
              <w:r>
                <w:rPr>
                  <w:rFonts w:ascii="Arial" w:cs="Arial" w:eastAsia="Arial" w:hAnsi="Arial"/>
                  <w:sz w:val="18"/>
                  <w:szCs w:val="18"/>
                  <w:color w:val="0000FF"/>
                </w:rPr>
                <w:t>Zoom Video Communications, Inc. 2019 Equity</w:t>
              </w:r>
            </w:hyperlink>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c>
          <w:tcPr>
            <w:tcW w:w="1640" w:type="dxa"/>
            <w:vAlign w:val="bottom"/>
            <w:gridSpan w:val="3"/>
          </w:tcPr>
          <w:p>
            <w:pPr>
              <w:ind w:left="400"/>
              <w:spacing w:after="0"/>
              <w:rPr>
                <w:sz w:val="20"/>
                <w:szCs w:val="20"/>
                <w:color w:val="auto"/>
              </w:rPr>
            </w:pPr>
            <w:r>
              <w:rPr>
                <w:rFonts w:ascii="Arial" w:cs="Arial" w:eastAsia="Arial" w:hAnsi="Arial"/>
                <w:sz w:val="18"/>
                <w:szCs w:val="18"/>
                <w:color w:val="auto"/>
              </w:rPr>
              <w:t>333-230444</w:t>
            </w: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1"/>
              </w:rPr>
              <w:t>10.2</w:t>
            </w:r>
          </w:p>
        </w:tc>
        <w:tc>
          <w:tcPr>
            <w:tcW w:w="21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April 8, 2019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18"/>
          </w:tcPr>
          <w:p>
            <w:pPr>
              <w:spacing w:after="0" w:line="156" w:lineRule="exact"/>
              <w:rPr>
                <w:rFonts w:ascii="Arial" w:cs="Arial" w:eastAsia="Arial" w:hAnsi="Arial"/>
                <w:sz w:val="18"/>
                <w:szCs w:val="18"/>
                <w:color w:val="0000FF"/>
              </w:rPr>
            </w:pPr>
            <w:hyperlink r:id="rId19">
              <w:r>
                <w:rPr>
                  <w:rFonts w:ascii="Arial" w:cs="Arial" w:eastAsia="Arial" w:hAnsi="Arial"/>
                  <w:sz w:val="18"/>
                  <w:szCs w:val="18"/>
                  <w:color w:val="0000FF"/>
                </w:rPr>
                <w:t>Incentive Plan and forms of agreements thereunder.</w:t>
              </w:r>
            </w:hyperlink>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20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18"/>
          </w:tcPr>
          <w:p>
            <w:pPr>
              <w:spacing w:after="0"/>
              <w:rPr>
                <w:rFonts w:ascii="Arial" w:cs="Arial" w:eastAsia="Arial" w:hAnsi="Arial"/>
                <w:sz w:val="18"/>
                <w:szCs w:val="18"/>
                <w:color w:val="0000FF"/>
              </w:rPr>
            </w:pPr>
            <w:hyperlink r:id="rId20">
              <w:r>
                <w:rPr>
                  <w:rFonts w:ascii="Arial" w:cs="Arial" w:eastAsia="Arial" w:hAnsi="Arial"/>
                  <w:sz w:val="18"/>
                  <w:szCs w:val="18"/>
                  <w:color w:val="0000FF"/>
                </w:rPr>
                <w:t>Zoom Video Communications, Inc. 2019 Employee</w:t>
              </w:r>
            </w:hyperlink>
          </w:p>
        </w:tc>
        <w:tc>
          <w:tcPr>
            <w:tcW w:w="74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c>
          <w:tcPr>
            <w:tcW w:w="1640" w:type="dxa"/>
            <w:vAlign w:val="bottom"/>
            <w:gridSpan w:val="3"/>
          </w:tcPr>
          <w:p>
            <w:pPr>
              <w:ind w:left="400"/>
              <w:spacing w:after="0"/>
              <w:rPr>
                <w:sz w:val="20"/>
                <w:szCs w:val="20"/>
                <w:color w:val="auto"/>
              </w:rPr>
            </w:pPr>
            <w:r>
              <w:rPr>
                <w:rFonts w:ascii="Arial" w:cs="Arial" w:eastAsia="Arial" w:hAnsi="Arial"/>
                <w:sz w:val="18"/>
                <w:szCs w:val="18"/>
                <w:color w:val="auto"/>
              </w:rPr>
              <w:t>333-230444</w:t>
            </w: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1"/>
              </w:rPr>
              <w:t>10.3</w:t>
            </w:r>
          </w:p>
        </w:tc>
        <w:tc>
          <w:tcPr>
            <w:tcW w:w="210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April 8, 2019</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0">
              <w:r>
                <w:rPr>
                  <w:rFonts w:ascii="Arial" w:cs="Arial" w:eastAsia="Arial" w:hAnsi="Arial"/>
                  <w:sz w:val="18"/>
                  <w:szCs w:val="18"/>
                  <w:color w:val="0000FF"/>
                </w:rPr>
                <w:t>Stock Purchase Plan.</w:t>
              </w:r>
            </w:hyperlink>
          </w:p>
        </w:tc>
        <w:tc>
          <w:tcPr>
            <w:tcW w:w="500" w:type="dxa"/>
            <w:vAlign w:val="bottom"/>
            <w:gridSpan w:val="5"/>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top w:val="single" w:sz="8" w:color="0000FF"/>
              <w:bottom w:val="single" w:sz="8" w:color="auto"/>
            </w:tcBorders>
          </w:tcPr>
          <w:p>
            <w:pPr>
              <w:spacing w:after="0"/>
              <w:rPr>
                <w:sz w:val="11"/>
                <w:szCs w:val="11"/>
                <w:color w:val="auto"/>
              </w:rPr>
            </w:pPr>
          </w:p>
        </w:tc>
        <w:tc>
          <w:tcPr>
            <w:tcW w:w="300" w:type="dxa"/>
            <w:vAlign w:val="bottom"/>
            <w:tcBorders>
              <w:top w:val="single" w:sz="8" w:color="0000FF"/>
              <w:bottom w:val="single" w:sz="8" w:color="auto"/>
            </w:tcBorders>
          </w:tcPr>
          <w:p>
            <w:pPr>
              <w:spacing w:after="0"/>
              <w:rPr>
                <w:sz w:val="11"/>
                <w:szCs w:val="11"/>
                <w:color w:val="auto"/>
              </w:rPr>
            </w:pPr>
          </w:p>
        </w:tc>
        <w:tc>
          <w:tcPr>
            <w:tcW w:w="200" w:type="dxa"/>
            <w:vAlign w:val="bottom"/>
            <w:tcBorders>
              <w:top w:val="single" w:sz="8" w:color="0000FF"/>
              <w:bottom w:val="single" w:sz="8" w:color="auto"/>
            </w:tcBorders>
          </w:tcPr>
          <w:p>
            <w:pPr>
              <w:spacing w:after="0"/>
              <w:rPr>
                <w:sz w:val="11"/>
                <w:szCs w:val="11"/>
                <w:color w:val="auto"/>
              </w:rPr>
            </w:pPr>
          </w:p>
        </w:tc>
        <w:tc>
          <w:tcPr>
            <w:tcW w:w="220" w:type="dxa"/>
            <w:vAlign w:val="bottom"/>
            <w:tcBorders>
              <w:top w:val="single" w:sz="8" w:color="0000FF"/>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this 18th day of March, 2021.</w:t>
      </w:r>
    </w:p>
    <w:p>
      <w:pPr>
        <w:spacing w:after="0" w:line="200" w:lineRule="exact"/>
        <w:rPr>
          <w:sz w:val="20"/>
          <w:szCs w:val="20"/>
          <w:color w:val="auto"/>
        </w:rPr>
      </w:pPr>
    </w:p>
    <w:p>
      <w:pPr>
        <w:spacing w:after="0" w:line="26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ZOOM VIDEO COMMUNICATIONS, INC.</w:t>
      </w:r>
    </w:p>
    <w:p>
      <w:pPr>
        <w:spacing w:after="0" w:line="283"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S. Yuan</w:t>
            </w:r>
          </w:p>
        </w:tc>
      </w:tr>
      <w:tr>
        <w:trPr>
          <w:trHeight w:val="222"/>
        </w:trPr>
        <w:tc>
          <w:tcPr>
            <w:tcW w:w="5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Eric S. Yuan</w:t>
            </w:r>
          </w:p>
        </w:tc>
      </w:tr>
      <w:tr>
        <w:trPr>
          <w:trHeight w:val="229"/>
        </w:trPr>
        <w:tc>
          <w:tcPr>
            <w:tcW w:w="5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Eric S. Yuan, Kelly Steckelberg</w:t>
      </w:r>
      <w:r>
        <w:rPr>
          <w:rFonts w:ascii="Arial" w:cs="Arial" w:eastAsia="Arial" w:hAnsi="Arial"/>
          <w:sz w:val="16"/>
          <w:szCs w:val="16"/>
          <w:b w:val="1"/>
          <w:bCs w:val="1"/>
          <w:color w:val="auto"/>
        </w:rPr>
        <w:t xml:space="preserve"> </w:t>
      </w:r>
      <w:r>
        <w:rPr>
          <w:rFonts w:ascii="Arial" w:cs="Arial" w:eastAsia="Arial" w:hAnsi="Arial"/>
          <w:sz w:val="16"/>
          <w:szCs w:val="16"/>
          <w:color w:val="auto"/>
        </w:rPr>
        <w:t>and Aparna Bawa, and each of them, as his or her true and lawful attorneys-in-fact and agents, each with the full power of substitution, for him or her and in their name, place or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99" w:lineRule="exact"/>
        <w:rPr>
          <w:sz w:val="20"/>
          <w:szCs w:val="20"/>
          <w:color w:val="auto"/>
        </w:rPr>
      </w:pPr>
    </w:p>
    <w:p>
      <w:pPr>
        <w:ind w:left="1580"/>
        <w:spacing w:after="0"/>
        <w:tabs>
          <w:tab w:leader="none" w:pos="6300" w:val="left"/>
          <w:tab w:leader="none" w:pos="98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310"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Eric S. Yuan</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Eric S. Yuan</w:t>
      </w:r>
    </w:p>
    <w:p>
      <w:pPr>
        <w:spacing w:after="0" w:line="292"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Kelly Steckelberg</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Kelly Steckelberg</w:t>
      </w:r>
    </w:p>
    <w:p>
      <w:pPr>
        <w:spacing w:after="0" w:line="292"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Shane Crehan</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Shane Crehan</w:t>
      </w:r>
    </w:p>
    <w:p>
      <w:pPr>
        <w:spacing w:after="0" w:line="292"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Jonathan Chadwick</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Jonathan Chadwick</w:t>
      </w:r>
    </w:p>
    <w:p>
      <w:pPr>
        <w:spacing w:after="0" w:line="292"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Carl M. Eschenbach</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Carl M. Eschenbach</w:t>
      </w:r>
    </w:p>
    <w:p>
      <w:pPr>
        <w:spacing w:after="0" w:line="292"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Peter Gassner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Peter Gassner</w:t>
      </w:r>
    </w:p>
    <w:p>
      <w:pPr>
        <w:spacing w:after="0" w:line="292"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Kimberly L. Hammonds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Kimberly L. Hammonds</w:t>
      </w:r>
    </w:p>
    <w:p>
      <w:pPr>
        <w:spacing w:after="0" w:line="251" w:lineRule="exact"/>
        <w:rPr>
          <w:sz w:val="20"/>
          <w:szCs w:val="20"/>
          <w:color w:val="auto"/>
        </w:rPr>
      </w:pPr>
    </w:p>
    <w:p>
      <w:pPr>
        <w:jc w:val="center"/>
        <w:ind w:right="140"/>
        <w:spacing w:after="0"/>
        <w:rPr>
          <w:sz w:val="20"/>
          <w:szCs w:val="20"/>
          <w:color w:val="auto"/>
        </w:rPr>
      </w:pPr>
      <w:r>
        <w:rPr>
          <w:rFonts w:ascii="Arial" w:cs="Arial" w:eastAsia="Arial" w:hAnsi="Arial"/>
          <w:sz w:val="16"/>
          <w:szCs w:val="16"/>
          <w:u w:val="single" w:color="auto"/>
          <w:color w:val="auto"/>
        </w:rPr>
        <w:t>/s/ Herbert Raymond McMaster</w:t>
      </w:r>
    </w:p>
    <w:p>
      <w:pPr>
        <w:spacing w:after="0" w:line="4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Herbert Raymond McMaster</w:t>
      </w:r>
    </w:p>
    <w:p>
      <w:pPr>
        <w:spacing w:after="0" w:line="251"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Janet Napolitano</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Janet Napolitano</w:t>
      </w:r>
    </w:p>
    <w:p>
      <w:pPr>
        <w:spacing w:after="0" w:line="251"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Dan Scheinman</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Dan Scheinman</w:t>
      </w:r>
    </w:p>
    <w:p>
      <w:pPr>
        <w:spacing w:after="0" w:line="292"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Santiago Subotovsky</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Santiago Subotovsky</w:t>
      </w:r>
    </w:p>
    <w:p>
      <w:pPr>
        <w:spacing w:after="0" w:line="292" w:lineRule="exact"/>
        <w:rPr>
          <w:sz w:val="20"/>
          <w:szCs w:val="20"/>
          <w:color w:val="auto"/>
        </w:rPr>
      </w:pPr>
    </w:p>
    <w:p>
      <w:pPr>
        <w:jc w:val="center"/>
        <w:ind w:right="140"/>
        <w:spacing w:after="0"/>
        <w:rPr>
          <w:sz w:val="20"/>
          <w:szCs w:val="20"/>
          <w:color w:val="auto"/>
        </w:rPr>
      </w:pPr>
      <w:r>
        <w:rPr>
          <w:rFonts w:ascii="Arial" w:cs="Arial" w:eastAsia="Arial" w:hAnsi="Arial"/>
          <w:sz w:val="18"/>
          <w:szCs w:val="18"/>
          <w:u w:val="single" w:color="auto"/>
          <w:color w:val="auto"/>
        </w:rPr>
        <w:t>/s/ Bart Swanson</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Bart Swanson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2"/>
              </w:rPr>
              <w:t>President, Chief Executive Officer and Director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230"/>
        </w:trPr>
        <w:tc>
          <w:tcPr>
            <w:tcW w:w="4060" w:type="dxa"/>
            <w:vAlign w:val="bottom"/>
          </w:tcPr>
          <w:p>
            <w:pPr>
              <w:jc w:val="center"/>
              <w:ind w:right="550"/>
              <w:spacing w:after="0"/>
              <w:rPr>
                <w:sz w:val="20"/>
                <w:szCs w:val="20"/>
                <w:color w:val="auto"/>
              </w:rPr>
            </w:pPr>
            <w:r>
              <w:rPr>
                <w:rFonts w:ascii="Arial" w:cs="Arial" w:eastAsia="Arial" w:hAnsi="Arial"/>
                <w:sz w:val="18"/>
                <w:szCs w:val="18"/>
                <w:i w:val="1"/>
                <w:iCs w:val="1"/>
                <w:color w:val="auto"/>
                <w:w w:val="94"/>
              </w:rPr>
              <w:t>(Principal Executive Officer)</w:t>
            </w:r>
          </w:p>
        </w:tc>
        <w:tc>
          <w:tcPr>
            <w:tcW w:w="1780" w:type="dxa"/>
            <w:vAlign w:val="bottom"/>
          </w:tcPr>
          <w:p>
            <w:pPr>
              <w:spacing w:after="0"/>
              <w:rPr>
                <w:sz w:val="20"/>
                <w:szCs w:val="20"/>
                <w:color w:val="auto"/>
              </w:rPr>
            </w:pPr>
          </w:p>
        </w:tc>
      </w:tr>
      <w:tr>
        <w:trPr>
          <w:trHeight w:val="499"/>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4"/>
              </w:rPr>
              <w:t>Chief Financial Officer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230"/>
        </w:trPr>
        <w:tc>
          <w:tcPr>
            <w:tcW w:w="4060" w:type="dxa"/>
            <w:vAlign w:val="bottom"/>
          </w:tcPr>
          <w:p>
            <w:pPr>
              <w:jc w:val="center"/>
              <w:ind w:right="550"/>
              <w:spacing w:after="0"/>
              <w:rPr>
                <w:sz w:val="20"/>
                <w:szCs w:val="20"/>
                <w:color w:val="auto"/>
              </w:rPr>
            </w:pPr>
            <w:r>
              <w:rPr>
                <w:rFonts w:ascii="Arial" w:cs="Arial" w:eastAsia="Arial" w:hAnsi="Arial"/>
                <w:sz w:val="18"/>
                <w:szCs w:val="18"/>
                <w:i w:val="1"/>
                <w:iCs w:val="1"/>
                <w:color w:val="auto"/>
                <w:w w:val="97"/>
              </w:rPr>
              <w:t>(Principal Financial Officer)</w:t>
            </w:r>
          </w:p>
        </w:tc>
        <w:tc>
          <w:tcPr>
            <w:tcW w:w="1780" w:type="dxa"/>
            <w:vAlign w:val="bottom"/>
          </w:tcPr>
          <w:p>
            <w:pPr>
              <w:spacing w:after="0"/>
              <w:rPr>
                <w:sz w:val="20"/>
                <w:szCs w:val="20"/>
                <w:color w:val="auto"/>
              </w:rPr>
            </w:pPr>
          </w:p>
        </w:tc>
      </w:tr>
      <w:tr>
        <w:trPr>
          <w:trHeight w:val="499"/>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4"/>
              </w:rPr>
              <w:t>Chief Accounting Officer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230"/>
        </w:trPr>
        <w:tc>
          <w:tcPr>
            <w:tcW w:w="4060" w:type="dxa"/>
            <w:vAlign w:val="bottom"/>
          </w:tcPr>
          <w:p>
            <w:pPr>
              <w:jc w:val="center"/>
              <w:ind w:right="550"/>
              <w:spacing w:after="0"/>
              <w:rPr>
                <w:sz w:val="20"/>
                <w:szCs w:val="20"/>
                <w:color w:val="auto"/>
              </w:rPr>
            </w:pPr>
            <w:r>
              <w:rPr>
                <w:rFonts w:ascii="Arial" w:cs="Arial" w:eastAsia="Arial" w:hAnsi="Arial"/>
                <w:sz w:val="18"/>
                <w:szCs w:val="18"/>
                <w:i w:val="1"/>
                <w:iCs w:val="1"/>
                <w:color w:val="auto"/>
                <w:w w:val="95"/>
              </w:rPr>
              <w:t>(Principal Accounting Officer)</w:t>
            </w:r>
          </w:p>
        </w:tc>
        <w:tc>
          <w:tcPr>
            <w:tcW w:w="1780" w:type="dxa"/>
            <w:vAlign w:val="bottom"/>
          </w:tcPr>
          <w:p>
            <w:pPr>
              <w:spacing w:after="0"/>
              <w:rPr>
                <w:sz w:val="20"/>
                <w:szCs w:val="20"/>
                <w:color w:val="auto"/>
              </w:rPr>
            </w:pPr>
          </w:p>
        </w:tc>
      </w:tr>
      <w:tr>
        <w:trPr>
          <w:trHeight w:val="500"/>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729"/>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729"/>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729"/>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688"/>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688"/>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688"/>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729"/>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r>
        <w:trPr>
          <w:trHeight w:val="729"/>
        </w:trPr>
        <w:tc>
          <w:tcPr>
            <w:tcW w:w="406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640"/>
              <w:spacing w:after="0"/>
              <w:rPr>
                <w:sz w:val="20"/>
                <w:szCs w:val="20"/>
                <w:color w:val="auto"/>
              </w:rPr>
            </w:pPr>
            <w:r>
              <w:rPr>
                <w:rFonts w:ascii="Arial" w:cs="Arial" w:eastAsia="Arial" w:hAnsi="Arial"/>
                <w:sz w:val="18"/>
                <w:szCs w:val="18"/>
                <w:color w:val="auto"/>
                <w:w w:val="89"/>
              </w:rPr>
              <w:t>March 18, 2021</w:t>
            </w:r>
          </w:p>
        </w:tc>
      </w:tr>
    </w:tbl>
    <w:p>
      <w:pPr>
        <w:sectPr>
          <w:pgSz w:w="11900" w:h="16838" w:orient="portrait"/>
          <w:cols w:equalWidth="0" w:num="2">
            <w:col w:w="4060" w:space="720"/>
            <w:col w:w="6460"/>
          </w:cols>
          <w:pgMar w:left="320" w:top="1417" w:right="3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22"/>
          <w:szCs w:val="22"/>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Calise Y. Cheng</w:t>
      </w:r>
    </w:p>
    <w:p>
      <w:pPr>
        <w:spacing w:after="0" w:line="234" w:lineRule="auto"/>
        <w:rPr>
          <w:sz w:val="20"/>
          <w:szCs w:val="20"/>
          <w:color w:val="auto"/>
        </w:rPr>
      </w:pPr>
      <w:r>
        <w:rPr>
          <w:rFonts w:ascii="Arial" w:cs="Arial" w:eastAsia="Arial" w:hAnsi="Arial"/>
          <w:sz w:val="18"/>
          <w:szCs w:val="18"/>
          <w:color w:val="auto"/>
        </w:rPr>
        <w:t>+1 650 843 5172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ccheng@cooley.com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193" w:lineRule="auto"/>
        <w:rPr>
          <w:sz w:val="20"/>
          <w:szCs w:val="20"/>
          <w:color w:val="auto"/>
        </w:rPr>
      </w:pPr>
      <w:r>
        <w:rPr>
          <w:rFonts w:ascii="Arial" w:cs="Arial" w:eastAsia="Arial" w:hAnsi="Arial"/>
          <w:sz w:val="18"/>
          <w:szCs w:val="18"/>
          <w:color w:val="auto"/>
        </w:rPr>
        <w:t>55 Almaden Boulevard,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San Jose, CA 95113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Registration on Form S-8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acted as counsel to Zoom Video Communications,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covering the offering of up to 17,612,953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Class A common stock, par value $0.001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consisting of (a) 14,677,461 shares of Common Stock issuable pursuant to the Company’s 2019 Equity Incentive Plan (the “</w:t>
      </w:r>
      <w:r>
        <w:rPr>
          <w:rFonts w:ascii="Arial" w:cs="Arial" w:eastAsia="Arial" w:hAnsi="Arial"/>
          <w:sz w:val="18"/>
          <w:szCs w:val="18"/>
          <w:b w:val="1"/>
          <w:bCs w:val="1"/>
          <w:i w:val="1"/>
          <w:iCs w:val="1"/>
          <w:color w:val="auto"/>
        </w:rPr>
        <w:t>2019 EIP</w:t>
      </w:r>
      <w:r>
        <w:rPr>
          <w:rFonts w:ascii="Arial" w:cs="Arial" w:eastAsia="Arial" w:hAnsi="Arial"/>
          <w:sz w:val="18"/>
          <w:szCs w:val="18"/>
          <w:color w:val="auto"/>
        </w:rPr>
        <w:t>”) and (b) 2,935,492 shares of Common Stock issuable pursuant to the Company’s 2019 Employee Stock Purchase Plan (together with the 2019 EIP,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Prospectuses, (b) the Company’s Amended and Restated Certificate of Incorporation and Amended and Restated Bylaws, each as currently in effect, (c) the Plans, and (d)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Calise Y. Cheng</w:t>
      </w:r>
    </w:p>
    <w:p>
      <w:pPr>
        <w:spacing w:after="0"/>
        <w:rPr>
          <w:sz w:val="20"/>
          <w:szCs w:val="20"/>
          <w:color w:val="auto"/>
        </w:rPr>
      </w:pPr>
      <w:r>
        <w:rPr>
          <w:rFonts w:ascii="Arial" w:cs="Arial" w:eastAsia="Arial" w:hAnsi="Arial"/>
          <w:sz w:val="18"/>
          <w:szCs w:val="18"/>
          <w:color w:val="auto"/>
        </w:rPr>
        <w:t>Calise Y. Cheng</w:t>
      </w:r>
    </w:p>
    <w:p>
      <w:pPr>
        <w:sectPr>
          <w:pgSz w:w="11900" w:h="16838" w:orient="portrait"/>
          <w:cols w:equalWidth="0" w:num="1">
            <w:col w:w="11240"/>
          </w:cols>
          <w:pgMar w:left="320" w:top="39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consent to the use of our report dated March 18, 2021 with respect to the consolidated balance sheets of Zoom Video Communications, Inc. and subsidiaries (the Company) as of January 31, 2021 and 2020, the related consolidated statements of operations, comprehensive income, convertible preferred stock and stockholders’ (deficit) equity, and cash flows for each of the years in the three-year period ended January 31, 2021, and the related notes and financial statement schedule II: valuation and qualifying accounts (collectively, the consolidated financial statements) and the effectiveness of internal control over financial reporting incorporated by reference herein.</w:t>
      </w:r>
    </w:p>
    <w:p>
      <w:pPr>
        <w:spacing w:after="0" w:line="23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Our report dated March 18, 2021 refers to a change in the Company’s method of accounting for leases as of February 1, 2019 due to the adoption of a new accounting standard.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rPr>
          <w:sz w:val="20"/>
          <w:szCs w:val="20"/>
          <w:color w:val="auto"/>
        </w:rPr>
      </w:pPr>
      <w:r>
        <w:rPr>
          <w:rFonts w:ascii="Arial" w:cs="Arial" w:eastAsia="Arial" w:hAnsi="Arial"/>
          <w:sz w:val="18"/>
          <w:szCs w:val="18"/>
          <w:color w:val="auto"/>
        </w:rPr>
        <w:t>March 18, 2021</w:t>
      </w:r>
    </w:p>
    <w:sectPr>
      <w:pgSz w:w="11900" w:h="16838" w:orient="portrait"/>
      <w:cols w:equalWidth="0" w:num="1">
        <w:col w:w="11240"/>
      </w:cols>
      <w:pgMar w:left="320" w:top="6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21" Type="http://schemas.openxmlformats.org/officeDocument/2006/relationships/image" Target="media/image4.png"/><Relationship Id="rId11" Type="http://schemas.openxmlformats.org/officeDocument/2006/relationships/hyperlink" Target="https://www.sec.gov/Archives/edgar/data/1585521/000119312519115105/d724945ds8.htm" TargetMode="External"/><Relationship Id="rId12" Type="http://schemas.openxmlformats.org/officeDocument/2006/relationships/hyperlink" Target="https://www.sec.gov/Archives/edgar/data/1585521/000158552120000096/zm-sx8_2020.htm" TargetMode="External"/><Relationship Id="rId13" Type="http://schemas.openxmlformats.org/officeDocument/2006/relationships/hyperlink" Target="https://www.sec.gov/ix?doc=/Archives/edgar/data/1585521/000158552121000048/zm-20210131.htm" TargetMode="External"/><Relationship Id="rId14" Type="http://schemas.openxmlformats.org/officeDocument/2006/relationships/hyperlink" Target="https://www.sec.gov/Archives/edgar/data/1585521/000119312519099830/d730043d8a12b.htm" TargetMode="External"/><Relationship Id="rId15" Type="http://schemas.openxmlformats.org/officeDocument/2006/relationships/hyperlink" Target="https://www.sec.gov/Archives/edgar/data/1585521/000158552121000048/ex43_securitiesfrompy.htm" TargetMode="External"/><Relationship Id="rId16" Type="http://schemas.openxmlformats.org/officeDocument/2006/relationships/hyperlink" Target="http://www.sec.gov/Archives/edgar/data/1585521/000119312519115111/d736915dex31.htm" TargetMode="External"/><Relationship Id="rId17" Type="http://schemas.openxmlformats.org/officeDocument/2006/relationships/hyperlink" Target="http://www.sec.gov/Archives/edgar/data/1585521/000119312519099813/d642624dex34.htm" TargetMode="External"/><Relationship Id="rId18" Type="http://schemas.openxmlformats.org/officeDocument/2006/relationships/hyperlink" Target="http://www.sec.gov/Archives/edgar/data/1585521/000119312519099813/d642624dex41.htm" TargetMode="External"/><Relationship Id="rId19" Type="http://schemas.openxmlformats.org/officeDocument/2006/relationships/hyperlink" Target="http://www.sec.gov/Archives/edgar/data/1585521/000119312519099813/d642624dex102.htm" TargetMode="External"/><Relationship Id="rId20" Type="http://schemas.openxmlformats.org/officeDocument/2006/relationships/hyperlink" Target="http://www.sec.gov/Archives/edgar/data/1585521/000119312519099813/d64262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2021-03-18T15:31:03Z</dcterms:created>
  <dcterms:modified xsi:type="dcterms:W3CDTF">2021-03-18T15:31:03Z</dcterms:modified>
</cp:coreProperties>
</file>