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60" w:lineRule="exact"/>
        <w:rPr>
          <w:sz w:val="24"/>
          <w:szCs w:val="24"/>
          <w:color w:val="auto"/>
        </w:rPr>
      </w:pPr>
    </w:p>
    <w:tbl>
      <w:tblPr>
        <w:tblLayout w:type="fixed"/>
        <w:tblInd w:w="1040" w:type="dxa"/>
        <w:tblCellMar>
          <w:top w:w="0" w:type="dxa"/>
          <w:left w:w="0" w:type="dxa"/>
          <w:bottom w:w="0" w:type="dxa"/>
          <w:right w:w="0" w:type="dxa"/>
        </w:tblCellMar>
      </w:tblPr>
      <w:tr>
        <w:trPr>
          <w:trHeight w:val="243"/>
        </w:trPr>
        <w:tc>
          <w:tcPr>
            <w:tcW w:w="2120" w:type="dxa"/>
            <w:vAlign w:val="bottom"/>
          </w:tcPr>
          <w:p>
            <w:pPr>
              <w:jc w:val="center"/>
              <w:ind w:right="359"/>
              <w:spacing w:after="0"/>
              <w:rPr>
                <w:sz w:val="20"/>
                <w:szCs w:val="20"/>
                <w:color w:val="auto"/>
              </w:rPr>
            </w:pPr>
            <w:r>
              <w:rPr>
                <w:rFonts w:ascii="Arial" w:cs="Arial" w:eastAsia="Arial" w:hAnsi="Arial"/>
                <w:sz w:val="20"/>
                <w:szCs w:val="20"/>
                <w:b w:val="1"/>
                <w:bCs w:val="1"/>
                <w:color w:val="auto"/>
                <w:w w:val="91"/>
              </w:rPr>
              <w:t>Delaware</w:t>
            </w:r>
          </w:p>
        </w:tc>
        <w:tc>
          <w:tcPr>
            <w:tcW w:w="5060" w:type="dxa"/>
            <w:vAlign w:val="bottom"/>
          </w:tcPr>
          <w:p>
            <w:pPr>
              <w:jc w:val="center"/>
              <w:ind w:right="73"/>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center"/>
              <w:ind w:left="499"/>
              <w:spacing w:after="0"/>
              <w:rPr>
                <w:sz w:val="20"/>
                <w:szCs w:val="20"/>
                <w:color w:val="auto"/>
              </w:rPr>
            </w:pPr>
            <w:r>
              <w:rPr>
                <w:rFonts w:ascii="Arial" w:cs="Arial" w:eastAsia="Arial" w:hAnsi="Arial"/>
                <w:sz w:val="20"/>
                <w:szCs w:val="20"/>
                <w:b w:val="1"/>
                <w:bCs w:val="1"/>
                <w:color w:val="auto"/>
                <w:w w:val="89"/>
              </w:rPr>
              <w:t>61-1648780</w:t>
            </w:r>
          </w:p>
        </w:tc>
        <w:tc>
          <w:tcPr>
            <w:tcW w:w="0" w:type="dxa"/>
            <w:vAlign w:val="bottom"/>
          </w:tcPr>
          <w:p>
            <w:pPr>
              <w:spacing w:after="0"/>
              <w:rPr>
                <w:sz w:val="1"/>
                <w:szCs w:val="1"/>
                <w:color w:val="auto"/>
              </w:rPr>
            </w:pPr>
          </w:p>
        </w:tc>
      </w:tr>
      <w:tr>
        <w:trPr>
          <w:trHeight w:val="144"/>
        </w:trPr>
        <w:tc>
          <w:tcPr>
            <w:tcW w:w="2120" w:type="dxa"/>
            <w:vAlign w:val="bottom"/>
          </w:tcPr>
          <w:p>
            <w:pPr>
              <w:jc w:val="center"/>
              <w:ind w:right="339"/>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9"/>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120" w:type="dxa"/>
            <w:vAlign w:val="bottom"/>
          </w:tcPr>
          <w:p>
            <w:pPr>
              <w:jc w:val="center"/>
              <w:ind w:right="339"/>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vMerge w:val="continue"/>
          </w:tcPr>
          <w:p>
            <w:pPr>
              <w:spacing w:after="0"/>
              <w:rPr>
                <w:sz w:val="16"/>
                <w:szCs w:val="16"/>
                <w:color w:val="auto"/>
              </w:rPr>
            </w:pPr>
          </w:p>
        </w:tc>
        <w:tc>
          <w:tcPr>
            <w:tcW w:w="1700" w:type="dxa"/>
            <w:vAlign w:val="bottom"/>
          </w:tcPr>
          <w:p>
            <w:pPr>
              <w:jc w:val="center"/>
              <w:ind w:left="49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17"/>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0"/>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88"/>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June 1, 2021, Zoom Video Communications, Inc. (the “Company”) issued a press release announcing its financial results for the three months ended April 30, 2021. A copy of the press release is furnished as Exhibit 99.1 to this report and is incorporated by reference.</w:t>
      </w:r>
    </w:p>
    <w:p>
      <w:pPr>
        <w:spacing w:after="0" w:line="1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Exhibit No.</w:t>
            </w:r>
          </w:p>
        </w:tc>
        <w:tc>
          <w:tcPr>
            <w:tcW w:w="94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182"/>
        </w:trPr>
        <w:tc>
          <w:tcPr>
            <w:tcW w:w="138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99.1</w:t>
            </w:r>
          </w:p>
        </w:tc>
        <w:tc>
          <w:tcPr>
            <w:tcW w:w="460" w:type="dxa"/>
            <w:vAlign w:val="bottom"/>
          </w:tcPr>
          <w:p>
            <w:pPr>
              <w:spacing w:after="0"/>
              <w:rPr>
                <w:sz w:val="15"/>
                <w:szCs w:val="15"/>
                <w:color w:val="auto"/>
              </w:rPr>
            </w:pPr>
          </w:p>
        </w:tc>
        <w:tc>
          <w:tcPr>
            <w:tcW w:w="938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June 1, 2021 of Zoom Video Communications, Inc.</w:t>
              </w:r>
            </w:hyperlink>
          </w:p>
        </w:tc>
        <w:tc>
          <w:tcPr>
            <w:tcW w:w="20" w:type="dxa"/>
            <w:vAlign w:val="bottom"/>
          </w:tcPr>
          <w:p>
            <w:pPr>
              <w:spacing w:after="0"/>
              <w:rPr>
                <w:sz w:val="15"/>
                <w:szCs w:val="15"/>
                <w:color w:val="auto"/>
              </w:rPr>
            </w:pPr>
          </w:p>
        </w:tc>
      </w:tr>
      <w:tr>
        <w:trPr>
          <w:trHeight w:val="1256"/>
        </w:trPr>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100" w:type="dxa"/>
            <w:vAlign w:val="bottom"/>
            <w:tcBorders>
              <w:top w:val="single" w:sz="8" w:color="0000FF"/>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3340" w:type="dxa"/>
            <w:vAlign w:val="bottom"/>
          </w:tcPr>
          <w:p>
            <w:pPr>
              <w:spacing w:after="0"/>
              <w:rPr>
                <w:sz w:val="20"/>
                <w:szCs w:val="20"/>
                <w:color w:val="auto"/>
              </w:rPr>
            </w:pPr>
            <w:r>
              <w:rPr>
                <w:rFonts w:ascii="Arial" w:cs="Arial" w:eastAsia="Arial" w:hAnsi="Arial"/>
                <w:sz w:val="18"/>
                <w:szCs w:val="18"/>
                <w:color w:val="auto"/>
              </w:rPr>
              <w:t>Dated: June 1, 2021</w:t>
            </w:r>
          </w:p>
        </w:tc>
        <w:tc>
          <w:tcPr>
            <w:tcW w:w="2600" w:type="dxa"/>
            <w:vAlign w:val="bottom"/>
          </w:tcPr>
          <w:p>
            <w:pPr>
              <w:ind w:left="19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Kelly Steckelberg</w:t>
            </w:r>
          </w:p>
        </w:tc>
      </w:tr>
      <w:tr>
        <w:trPr>
          <w:trHeight w:val="222"/>
        </w:trPr>
        <w:tc>
          <w:tcPr>
            <w:tcW w:w="3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Kelly Steckelberg</w:t>
            </w:r>
          </w:p>
        </w:tc>
      </w:tr>
      <w:tr>
        <w:trPr>
          <w:trHeight w:val="230"/>
        </w:trPr>
        <w:tc>
          <w:tcPr>
            <w:tcW w:w="3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Reports Financial Results for the First Quarter of Fiscal Year 2022</w:t>
      </w:r>
    </w:p>
    <w:p>
      <w:pPr>
        <w:spacing w:after="0" w:line="12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First quarter total revenue of $956.2 million, up 191% year over 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Number of customers contributing more than $100,000 in TTM revenue up 160% year over year</w:t>
      </w:r>
    </w:p>
    <w:p>
      <w:pPr>
        <w:spacing w:after="0" w:line="117"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Approximately 497,000 customers with more than 10 employees, up 87% year over year</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June 1, 2021 – Zoom Video Communications, Inc. (NASDAQ: ZM) today announced financial results for the first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April 30, 2021.</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kicked off the fiscal year with a very strong first quarter, posting 191% total year-over-year revenue growth combined with strong profitability and cash flow. Our steadfast commitment to empowering customers to work and learn from anywhere with our expansive, innovative, and frictionless video communications platform continued to drive our results. With this solid start, we are pleased to raise our total guidance range to $3.975 billion to $3.990 billion for the full fiscal year,” said Zoom founder and CEO, Eric S. Yuan. “We have also opened our technology portfolio to developers through our powerful video SDK and to businesses to expand their reach through Zoom Events. Work is no longer a place, it’s a space where Zoom serves to empower your teams to connect and bring their best ideas to life. We are energized to help lead the evolution to hybrid work that allows greater flexibility, productivity, and happiness to both in-person and virtual connections.”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Year 2022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first quarter was $956.2 million, up 191% year over year.</w:t>
      </w:r>
    </w:p>
    <w:p>
      <w:pPr>
        <w:spacing w:after="0" w:line="117" w:lineRule="exact"/>
        <w:rPr>
          <w:rFonts w:ascii="Arial" w:cs="Arial" w:eastAsia="Arial" w:hAnsi="Arial"/>
          <w:sz w:val="18"/>
          <w:szCs w:val="18"/>
          <w:b w:val="1"/>
          <w:bCs w:val="1"/>
          <w:color w:val="auto"/>
        </w:rPr>
      </w:pPr>
    </w:p>
    <w:p>
      <w:pPr>
        <w:ind w:left="980" w:right="6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and Operating Margin: </w:t>
      </w:r>
      <w:r>
        <w:rPr>
          <w:rFonts w:ascii="Arial" w:cs="Arial" w:eastAsia="Arial" w:hAnsi="Arial"/>
          <w:sz w:val="18"/>
          <w:szCs w:val="18"/>
          <w:color w:val="auto"/>
        </w:rPr>
        <w:t>GAAP income from operations for the first quarter was $226.3 million, up from $23.4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first quarter of fiscal year 2021. After adjusting for stock-based compensation expense and related payroll taxes, acquisition-related expenses, and litigation settlements, net, non-GAAP income from operations for the first quarter was $400.9 million, up from $54.6 million in the first quarter of fiscal year 2021. For the first quarter, GAAP operating margin was 23.7% and non-GAAP operating margin was 41.9%.</w:t>
      </w:r>
    </w:p>
    <w:p>
      <w:pPr>
        <w:spacing w:after="0" w:line="183" w:lineRule="exact"/>
        <w:rPr>
          <w:rFonts w:ascii="Arial" w:cs="Arial" w:eastAsia="Arial" w:hAnsi="Arial"/>
          <w:sz w:val="18"/>
          <w:szCs w:val="18"/>
          <w:color w:val="auto"/>
        </w:rPr>
      </w:pPr>
    </w:p>
    <w:p>
      <w:pPr>
        <w:ind w:left="980" w:right="120" w:hanging="324"/>
        <w:spacing w:after="0" w:line="282"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first quarter was $227.4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$0.74 per share, up from $27.0 million, or $0.09 per share in the first quarter of fiscal year 2021.</w:t>
      </w:r>
    </w:p>
    <w:p>
      <w:pPr>
        <w:spacing w:after="0" w:line="57" w:lineRule="exact"/>
        <w:rPr>
          <w:rFonts w:ascii="Arial" w:cs="Arial" w:eastAsia="Arial" w:hAnsi="Arial"/>
          <w:sz w:val="18"/>
          <w:szCs w:val="18"/>
          <w:b w:val="1"/>
          <w:bCs w:val="1"/>
          <w:color w:val="auto"/>
        </w:rPr>
      </w:pPr>
    </w:p>
    <w:p>
      <w:pPr>
        <w:ind w:left="980"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Non-GAAP net income for the quarter was $402.1 million, after adjusting for stock-based compensation expense and related payroll taxes, acquisition-related expenses, litigation settlements, net, and undistributed earnings attributable to participating securities. Non-GAAP net income per share was $1.32. In the first quarter of fiscal year 2021, non-GAAP net income was $58.3 million, or $0.20 per share.</w:t>
      </w:r>
    </w:p>
    <w:p>
      <w:pPr>
        <w:spacing w:after="0" w:line="144" w:lineRule="exact"/>
        <w:rPr>
          <w:rFonts w:ascii="Arial" w:cs="Arial" w:eastAsia="Arial" w:hAnsi="Arial"/>
          <w:sz w:val="18"/>
          <w:szCs w:val="18"/>
          <w:b w:val="1"/>
          <w:bCs w:val="1"/>
          <w:color w:val="auto"/>
        </w:rPr>
      </w:pPr>
    </w:p>
    <w:p>
      <w:pPr>
        <w:ind w:left="980" w:right="40" w:hanging="324"/>
        <w:spacing w:after="0" w:line="282"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Marketable Securities: </w:t>
      </w:r>
      <w:r>
        <w:rPr>
          <w:rFonts w:ascii="Arial" w:cs="Arial" w:eastAsia="Arial" w:hAnsi="Arial"/>
          <w:sz w:val="18"/>
          <w:szCs w:val="18"/>
          <w:color w:val="auto"/>
        </w:rPr>
        <w:t>Total cash, cash equivalents, and marketable securities, excluding restricted cash, as of April 30, 2021 was</w:t>
      </w:r>
      <w:r>
        <w:rPr>
          <w:rFonts w:ascii="Arial" w:cs="Arial" w:eastAsia="Arial" w:hAnsi="Arial"/>
          <w:sz w:val="18"/>
          <w:szCs w:val="18"/>
          <w:b w:val="1"/>
          <w:bCs w:val="1"/>
          <w:color w:val="auto"/>
        </w:rPr>
        <w:t xml:space="preserve"> </w:t>
      </w:r>
      <w:r>
        <w:rPr>
          <w:rFonts w:ascii="Arial" w:cs="Arial" w:eastAsia="Arial" w:hAnsi="Arial"/>
          <w:sz w:val="18"/>
          <w:szCs w:val="18"/>
          <w:color w:val="auto"/>
        </w:rPr>
        <w:t>$4.7 billion.</w:t>
      </w:r>
    </w:p>
    <w:p>
      <w:pPr>
        <w:spacing w:after="0" w:line="53" w:lineRule="exact"/>
        <w:rPr>
          <w:rFonts w:ascii="Arial" w:cs="Arial" w:eastAsia="Arial" w:hAnsi="Arial"/>
          <w:sz w:val="18"/>
          <w:szCs w:val="18"/>
          <w:b w:val="1"/>
          <w:bCs w:val="1"/>
          <w:color w:val="auto"/>
        </w:rPr>
      </w:pPr>
    </w:p>
    <w:p>
      <w:pPr>
        <w:ind w:left="980" w:right="140" w:hanging="324"/>
        <w:spacing w:after="0" w:line="26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$533.3 million for the first quarter, compared to $259.0 million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fiscal year 2021. Free cash flow, which is net cash provided by operating activities less purchases of property and equipment, was $454.2 million, compared to $251.7 million in the first quarter of fiscal year 2021.</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included acquiring new customers and expanding across existing customers. At the end of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2022, Zoom had:</w:t>
      </w:r>
    </w:p>
    <w:p>
      <w:pPr>
        <w:spacing w:after="0" w:line="5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Approximately 497,000 customers with more than 10 employees, up approximately 87% from the same quarter last fiscal year.</w:t>
      </w:r>
    </w:p>
    <w:p>
      <w:pPr>
        <w:spacing w:after="0" w:line="117" w:lineRule="exact"/>
        <w:rPr>
          <w:rFonts w:ascii="Arial" w:cs="Arial" w:eastAsia="Arial" w:hAnsi="Arial"/>
          <w:sz w:val="18"/>
          <w:szCs w:val="18"/>
          <w:b w:val="1"/>
          <w:bCs w:val="1"/>
          <w:color w:val="auto"/>
        </w:rPr>
      </w:pPr>
    </w:p>
    <w:p>
      <w:pPr>
        <w:ind w:left="980" w:right="34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1,999 customers contributing more than $100,000 in trailing 12 months revenue, up approximately 160% from the same quarter last fiscal year.</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12th consecutive quarter.</w:t>
      </w:r>
    </w:p>
    <w:p>
      <w:pPr>
        <w:sectPr>
          <w:pgSz w:w="11900" w:h="16838" w:orient="portrait"/>
          <w:cols w:equalWidth="0" w:num="1">
            <w:col w:w="11240"/>
          </w:cols>
          <w:pgMar w:left="320" w:top="113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second quarter fiscal year 2022 and its full fiscal year 2022.</w:t>
      </w:r>
    </w:p>
    <w:p>
      <w:pPr>
        <w:spacing w:after="0" w:line="121" w:lineRule="exact"/>
        <w:rPr>
          <w:sz w:val="20"/>
          <w:szCs w:val="20"/>
          <w:color w:val="auto"/>
        </w:rPr>
      </w:pPr>
    </w:p>
    <w:p>
      <w:pPr>
        <w:ind w:left="980" w:right="120" w:hanging="324"/>
        <w:spacing w:after="0" w:line="263"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Second Quarter Fiscal Year 2022: Total revenue is expected to be between $985.0 million and $990.0 million and non-GAAP income from operations is expected to be between $355.0 million and $360.0 million. Non-GAAP diluted EPS is expected to be between $1.14 and $1.15 with approximately 311 million non-GAAP weighted average shares outstanding.</w:t>
      </w:r>
    </w:p>
    <w:p>
      <w:pPr>
        <w:spacing w:after="0" w:line="75" w:lineRule="exact"/>
        <w:rPr>
          <w:rFonts w:ascii="Arial" w:cs="Arial" w:eastAsia="Arial" w:hAnsi="Arial"/>
          <w:sz w:val="18"/>
          <w:szCs w:val="18"/>
          <w:b w:val="1"/>
          <w:bCs w:val="1"/>
          <w:color w:val="auto"/>
        </w:rPr>
      </w:pPr>
    </w:p>
    <w:p>
      <w:pPr>
        <w:ind w:left="980" w:right="42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Fiscal Year 2022: Total revenue is expected to be between $3.975 billion and $3.990 billion. Non-GAAP income from operations is expected to be between $1.425 billion and $1.440 billion. Non-GAAP diluted EPS is expected to be between $4.56 and $4.61 with approximately 311 million non-GAAP weighted average shares outstanding.</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Zoom will host a Zoom Video Webinar for investors on June 1, 2021 at 2:00 p.m. Pacific Time / 5:00 p.m. Eastern Time to discuss the company’s financial results and business highlights. Investors are invited to join the Zoom Video Webinar by visiting: https://investors.zoom.us/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press release contains express and implied “forward-looking statements” within the meaning of the Private Securities Litigation Reform Act of 1995, including statements regarding our financial outlook for the second quarter of fiscal year 2022 and full fiscal year 2022, Zoom’s growth strategy and business aspirations to lead the evolution to hybrid work.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a vaccine becomes widely available, and users return to work or school or are otherwise no longer subject to shelter-in-place mandates,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fiscal year ended January 31,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200"/>
          </w:cols>
          <w:pgMar w:left="320" w:top="110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acquisition-related expenses, and litigation settlements, net.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litigation settlements, net,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ectPr>
          <w:pgSz w:w="11900" w:h="16838" w:orient="portrait"/>
          <w:cols w:equalWidth="0" w:num="1">
            <w:col w:w="11220"/>
          </w:cols>
          <w:pgMar w:left="320" w:top="110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Press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Global Public Relations Lead for Zoom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press@zoom.us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 for Zoom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0139"/>
          </w:cols>
          <w:pgMar w:left="320" w:top="110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r>
      <w:tr>
        <w:trPr>
          <w:trHeight w:val="134"/>
        </w:trPr>
        <w:tc>
          <w:tcPr>
            <w:tcW w:w="8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1"/>
                <w:szCs w:val="11"/>
                <w:color w:val="auto"/>
              </w:rPr>
            </w:pPr>
          </w:p>
        </w:tc>
        <w:tc>
          <w:tcPr>
            <w:tcW w:w="1200" w:type="dxa"/>
            <w:vAlign w:val="bottom"/>
          </w:tcPr>
          <w:p>
            <w:pPr>
              <w:jc w:val="right"/>
              <w:ind w:right="271"/>
              <w:spacing w:after="0" w:line="135" w:lineRule="exact"/>
              <w:rPr>
                <w:sz w:val="20"/>
                <w:szCs w:val="20"/>
                <w:color w:val="auto"/>
              </w:rPr>
            </w:pPr>
            <w:r>
              <w:rPr>
                <w:rFonts w:ascii="Arial" w:cs="Arial" w:eastAsia="Arial" w:hAnsi="Arial"/>
                <w:sz w:val="14"/>
                <w:szCs w:val="14"/>
                <w:b w:val="1"/>
                <w:bCs w:val="1"/>
                <w:color w:val="auto"/>
              </w:rPr>
              <w:t>January 31,</w:t>
            </w:r>
          </w:p>
        </w:tc>
      </w:tr>
      <w:tr>
        <w:trPr>
          <w:trHeight w:val="188"/>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2,240,303</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3,132,309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2,004,410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294,703</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136,630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116,819</w:t>
            </w:r>
          </w:p>
        </w:tc>
      </w:tr>
      <w:tr>
        <w:trPr>
          <w:trHeight w:val="223"/>
        </w:trPr>
        <w:tc>
          <w:tcPr>
            <w:tcW w:w="826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5,340,896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4,792,865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149,924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24,340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5,888,611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5,297,993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393,018</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858,284</w:t>
            </w:r>
          </w:p>
        </w:tc>
      </w:tr>
      <w:tr>
        <w:trPr>
          <w:trHeight w:val="223"/>
        </w:trPr>
        <w:tc>
          <w:tcPr>
            <w:tcW w:w="826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1,528,336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1,259,966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90,415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1,437,226</w:t>
            </w:r>
          </w:p>
        </w:tc>
      </w:tr>
      <w:tr>
        <w:trPr>
          <w:trHeight w:val="250"/>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3,187,168</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672,468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3,860,767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5,297,993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condensed consolidated balance sheets was $28.8 million and $24.6 million as of April 30, 2021 and January 31, 2021, respectively.</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328,167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103,707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224,460</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201,075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Weighted-average shares used in computing net income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293,794,778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279,891,111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305,412,419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295,184,958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April 30,</w:t>
            </w:r>
          </w:p>
        </w:tc>
      </w:tr>
      <w:tr>
        <w:trPr>
          <w:trHeight w:val="210"/>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227,531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27,075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28,777</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16,287</w:t>
            </w: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Charitable donation of common stock</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5,339</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operating lease cost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(142,501)</w:t>
            </w:r>
          </w:p>
        </w:tc>
      </w:tr>
      <w:tr>
        <w:trPr>
          <w:trHeight w:val="219"/>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(49,080)</w:t>
            </w:r>
          </w:p>
        </w:tc>
      </w:tr>
      <w:tr>
        <w:trPr>
          <w:trHeight w:val="213"/>
        </w:trPr>
        <w:tc>
          <w:tcPr>
            <w:tcW w:w="8180" w:type="dxa"/>
            <w:vAlign w:val="bottom"/>
          </w:tcPr>
          <w:p>
            <w:pPr>
              <w:ind w:left="480"/>
              <w:spacing w:after="0"/>
              <w:rPr>
                <w:sz w:val="20"/>
                <w:szCs w:val="20"/>
                <w:color w:val="auto"/>
              </w:rPr>
            </w:pPr>
            <w:r>
              <w:rPr>
                <w:rFonts w:ascii="Arial" w:cs="Arial" w:eastAsia="Arial" w:hAnsi="Arial"/>
                <w:sz w:val="16"/>
                <w:szCs w:val="16"/>
                <w:color w:val="auto"/>
              </w:rPr>
              <w:t>Deferred contract acquisition costs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(124,854)</w:t>
            </w:r>
          </w:p>
        </w:tc>
      </w:tr>
      <w:tr>
        <w:trPr>
          <w:trHeight w:val="219"/>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r>
      <w:tr>
        <w:trPr>
          <w:trHeight w:val="213"/>
        </w:trPr>
        <w:tc>
          <w:tcPr>
            <w:tcW w:w="8180" w:type="dxa"/>
            <w:vAlign w:val="bottom"/>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167,322</w:t>
            </w:r>
          </w:p>
        </w:tc>
      </w:tr>
      <w:tr>
        <w:trPr>
          <w:trHeight w:val="219"/>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322,862</w:t>
            </w:r>
          </w:p>
        </w:tc>
      </w:tr>
      <w:tr>
        <w:trPr>
          <w:trHeight w:val="213"/>
        </w:trPr>
        <w:tc>
          <w:tcPr>
            <w:tcW w:w="8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Operating lease liabilities,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81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258,965</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(207,546)</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291,047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137,014</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26,613</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(7,272)</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equity investment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Purchase of convertible promissory note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3"/>
        </w:trPr>
        <w:tc>
          <w:tcPr>
            <w:tcW w:w="818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(1,219,978)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(63,034)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employee equity transactions (remitted) to be remitted to employees and tax authorities,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218,540</w:t>
            </w: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9,586</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1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228,126</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424,057</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334,082</w:t>
            </w: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6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30,246</w:t>
            </w: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Litigation settlements,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240"/>
              <w:spacing w:after="0"/>
              <w:rPr>
                <w:sz w:val="20"/>
                <w:szCs w:val="20"/>
                <w:color w:val="auto"/>
              </w:rPr>
            </w:pPr>
            <w:r>
              <w:rPr>
                <w:rFonts w:ascii="Arial" w:cs="Arial" w:eastAsia="Arial" w:hAnsi="Arial"/>
                <w:sz w:val="18"/>
                <w:szCs w:val="18"/>
                <w:color w:val="auto"/>
              </w:rPr>
              <w:t>Charitable donation of common stock</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from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27,036</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30,246</w:t>
            </w: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Litigation settlements,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Charitable donation of common stock</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Net income per share - basic and diluted: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00" w:type="dxa"/>
            <w:vAlign w:val="bottom"/>
          </w:tcPr>
          <w:p>
            <w:pPr>
              <w:ind w:left="220"/>
              <w:spacing w:after="0" w:line="203" w:lineRule="exact"/>
              <w:rPr>
                <w:sz w:val="20"/>
                <w:szCs w:val="20"/>
                <w:color w:val="auto"/>
              </w:rPr>
            </w:pPr>
            <w:r>
              <w:rPr>
                <w:rFonts w:ascii="Arial" w:cs="Arial" w:eastAsia="Arial" w:hAnsi="Arial"/>
                <w:sz w:val="18"/>
                <w:szCs w:val="18"/>
                <w:color w:val="auto"/>
              </w:rPr>
              <w:t>Non-GAAP net income per share - basic</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00" w:type="dxa"/>
            <w:vAlign w:val="bottom"/>
          </w:tcPr>
          <w:p>
            <w:pPr>
              <w:ind w:left="220"/>
              <w:spacing w:after="0" w:line="203" w:lineRule="exact"/>
              <w:rPr>
                <w:sz w:val="20"/>
                <w:szCs w:val="20"/>
                <w:color w:val="auto"/>
              </w:rPr>
            </w:pPr>
            <w:r>
              <w:rPr>
                <w:rFonts w:ascii="Arial" w:cs="Arial" w:eastAsia="Arial" w:hAnsi="Arial"/>
                <w:sz w:val="18"/>
                <w:szCs w:val="18"/>
                <w:color w:val="auto"/>
              </w:rPr>
              <w:t>Non-GAAP net income per share - 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GAAP and non-GAAP weighted-average shares used to compute net income per share - 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293,794,778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279,891,111</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and non-GAAP weighted-average shares used to compute net income per share - diluted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305,412,419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295,184,958</w:t>
            </w:r>
          </w:p>
        </w:tc>
      </w:tr>
      <w:tr>
        <w:trPr>
          <w:trHeight w:val="162"/>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258,965</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251,693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0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228,126</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2021-06-01T15:11:29Z</dcterms:created>
  <dcterms:modified xsi:type="dcterms:W3CDTF">2021-06-01T15:11:29Z</dcterms:modified>
</cp:coreProperties>
</file>