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30,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20"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1"/>
              </w:rPr>
              <w:t>Delaware</w:t>
            </w:r>
          </w:p>
        </w:tc>
        <w:tc>
          <w:tcPr>
            <w:tcW w:w="4780" w:type="dxa"/>
            <w:vAlign w:val="bottom"/>
          </w:tcPr>
          <w:p>
            <w:pPr>
              <w:jc w:val="center"/>
              <w:ind w:right="355"/>
              <w:spacing w:after="0"/>
              <w:rPr>
                <w:sz w:val="20"/>
                <w:szCs w:val="20"/>
                <w:color w:val="auto"/>
              </w:rPr>
            </w:pPr>
            <w:r>
              <w:rPr>
                <w:rFonts w:ascii="Arial" w:cs="Arial" w:eastAsia="Arial" w:hAnsi="Arial"/>
                <w:sz w:val="20"/>
                <w:szCs w:val="20"/>
                <w:b w:val="1"/>
                <w:bCs w:val="1"/>
                <w:color w:val="auto"/>
                <w:w w:val="89"/>
              </w:rPr>
              <w:t>001-38865</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144"/>
        </w:trPr>
        <w:tc>
          <w:tcPr>
            <w:tcW w:w="298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vMerge w:val="restart"/>
          </w:tcPr>
          <w:p>
            <w:pPr>
              <w:jc w:val="center"/>
              <w:ind w:right="335"/>
              <w:spacing w:after="0"/>
              <w:rPr>
                <w:sz w:val="20"/>
                <w:szCs w:val="20"/>
                <w:color w:val="auto"/>
              </w:rPr>
            </w:pPr>
            <w:r>
              <w:rPr>
                <w:rFonts w:ascii="Arial" w:cs="Arial" w:eastAsia="Arial" w:hAnsi="Arial"/>
                <w:sz w:val="14"/>
                <w:szCs w:val="14"/>
                <w:b w:val="1"/>
                <w:bCs w:val="1"/>
                <w:color w:val="auto"/>
                <w:w w:val="94"/>
              </w:rPr>
              <w:t>(Commission File Number)</w:t>
            </w:r>
          </w:p>
        </w:tc>
        <w:tc>
          <w:tcPr>
            <w:tcW w:w="1700" w:type="dxa"/>
            <w:vAlign w:val="bottom"/>
          </w:tcPr>
          <w:p>
            <w:pPr>
              <w:jc w:val="center"/>
              <w:ind w:left="497"/>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98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vMerge w:val="continue"/>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54"/>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0"/>
              </w:rPr>
              <w:t>55 Almaden Boulevard, 6th Floor</w:t>
            </w:r>
          </w:p>
        </w:tc>
        <w:tc>
          <w:tcPr>
            <w:tcW w:w="4780" w:type="dxa"/>
            <w:vAlign w:val="bottom"/>
          </w:tcPr>
          <w:p>
            <w:pPr>
              <w:spacing w:after="0"/>
              <w:rPr>
                <w:sz w:val="24"/>
                <w:szCs w:val="24"/>
                <w:color w:val="auto"/>
              </w:rPr>
            </w:pPr>
          </w:p>
        </w:tc>
        <w:tc>
          <w:tcPr>
            <w:tcW w:w="1700" w:type="dxa"/>
            <w:vAlign w:val="bottom"/>
            <w:vMerge w:val="restart"/>
          </w:tcPr>
          <w:p>
            <w:pPr>
              <w:jc w:val="right"/>
              <w:ind w:right="237"/>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34"/>
        </w:trPr>
        <w:tc>
          <w:tcPr>
            <w:tcW w:w="2980" w:type="dxa"/>
            <w:vAlign w:val="bottom"/>
          </w:tcPr>
          <w:p>
            <w:pPr>
              <w:jc w:val="center"/>
              <w:ind w:right="35"/>
              <w:spacing w:after="0"/>
              <w:rPr>
                <w:sz w:val="20"/>
                <w:szCs w:val="20"/>
                <w:color w:val="auto"/>
              </w:rPr>
            </w:pPr>
            <w:r>
              <w:rPr>
                <w:rFonts w:ascii="Arial" w:cs="Arial" w:eastAsia="Arial" w:hAnsi="Arial"/>
                <w:sz w:val="20"/>
                <w:szCs w:val="20"/>
                <w:b w:val="1"/>
                <w:bCs w:val="1"/>
                <w:color w:val="auto"/>
                <w:w w:val="88"/>
              </w:rPr>
              <w:t>San Jose, California</w:t>
            </w:r>
          </w:p>
        </w:tc>
        <w:tc>
          <w:tcPr>
            <w:tcW w:w="478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9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780" w:type="dxa"/>
            <w:vAlign w:val="bottom"/>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27"/>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Arial" w:cs="Arial" w:eastAsia="Arial" w:hAnsi="Arial"/>
                <w:sz w:val="20"/>
                <w:szCs w:val="20"/>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8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Arial" w:cs="Arial" w:eastAsia="Arial" w:hAnsi="Arial"/>
                <w:sz w:val="20"/>
                <w:szCs w:val="20"/>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8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66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9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On November 30, 2020, Zoom Video Communications, Inc. (the “Company”) issued a press release announcing its financial results for the three months ended October 31, 2020. A copy of the press release is furnished as Exhibit 99.1 to this report and is incorporated by reference.</w:t>
      </w:r>
    </w:p>
    <w:p>
      <w:pPr>
        <w:spacing w:after="0" w:line="146"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380" w:type="dxa"/>
            <w:vAlign w:val="bottom"/>
          </w:tcPr>
          <w:p>
            <w:pPr>
              <w:spacing w:after="0"/>
              <w:rPr>
                <w:sz w:val="20"/>
                <w:szCs w:val="20"/>
                <w:color w:val="auto"/>
              </w:rPr>
            </w:pPr>
          </w:p>
        </w:tc>
      </w:tr>
      <w:tr>
        <w:trPr>
          <w:trHeight w:val="257"/>
        </w:trPr>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Exhibit No.</w:t>
            </w:r>
          </w:p>
        </w:tc>
        <w:tc>
          <w:tcPr>
            <w:tcW w:w="938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24"/>
        </w:trPr>
        <w:tc>
          <w:tcPr>
            <w:tcW w:w="13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9380" w:type="dxa"/>
            <w:vAlign w:val="bottom"/>
            <w:tcBorders>
              <w:top w:val="single" w:sz="8" w:color="auto"/>
            </w:tcBorders>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November 30, 2020 of Zoom Video Communications, Inc.</w:t>
              </w:r>
            </w:hyperlink>
          </w:p>
        </w:tc>
      </w:tr>
    </w:tbl>
    <w:p>
      <w:pPr>
        <w:sectPr>
          <w:pgSz w:w="11900" w:h="16838" w:orient="portrait"/>
          <w:cols w:equalWidth="0" w:num="1">
            <w:col w:w="11220"/>
          </w:cols>
          <w:pgMar w:left="320" w:top="1107"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00" w:type="dxa"/>
            <w:vAlign w:val="bottom"/>
            <w:gridSpan w:val="2"/>
          </w:tcPr>
          <w:p>
            <w:pPr>
              <w:ind w:left="1640"/>
              <w:spacing w:after="0"/>
              <w:rPr>
                <w:sz w:val="20"/>
                <w:szCs w:val="20"/>
                <w:color w:val="auto"/>
              </w:rPr>
            </w:pPr>
            <w:r>
              <w:rPr>
                <w:rFonts w:ascii="Arial" w:cs="Arial" w:eastAsia="Arial" w:hAnsi="Arial"/>
                <w:sz w:val="18"/>
                <w:szCs w:val="18"/>
                <w:b w:val="1"/>
                <w:bCs w:val="1"/>
                <w:color w:val="auto"/>
              </w:rPr>
              <w:t>Zoom Video Communications, Inc.</w:t>
            </w:r>
          </w:p>
        </w:tc>
      </w:tr>
      <w:tr>
        <w:trPr>
          <w:trHeight w:val="486"/>
        </w:trPr>
        <w:tc>
          <w:tcPr>
            <w:tcW w:w="3600" w:type="dxa"/>
            <w:vAlign w:val="bottom"/>
          </w:tcPr>
          <w:p>
            <w:pPr>
              <w:spacing w:after="0"/>
              <w:rPr>
                <w:sz w:val="20"/>
                <w:szCs w:val="20"/>
                <w:color w:val="auto"/>
              </w:rPr>
            </w:pPr>
            <w:r>
              <w:rPr>
                <w:rFonts w:ascii="Arial" w:cs="Arial" w:eastAsia="Arial" w:hAnsi="Arial"/>
                <w:sz w:val="18"/>
                <w:szCs w:val="18"/>
                <w:color w:val="auto"/>
              </w:rPr>
              <w:t>Dated: November 30, 2020</w:t>
            </w:r>
          </w:p>
        </w:tc>
        <w:tc>
          <w:tcPr>
            <w:tcW w:w="2340" w:type="dxa"/>
            <w:vAlign w:val="bottom"/>
          </w:tcPr>
          <w:p>
            <w:pPr>
              <w:ind w:left="16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Kelly Steckelberg</w:t>
            </w:r>
          </w:p>
        </w:tc>
      </w:tr>
      <w:tr>
        <w:trPr>
          <w:trHeight w:val="222"/>
        </w:trPr>
        <w:tc>
          <w:tcPr>
            <w:tcW w:w="3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Kelly Steckelberg</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Zoom Reports Results for Third Quarter Fiscal Year 2021</w:t>
      </w:r>
    </w:p>
    <w:p>
      <w:pPr>
        <w:spacing w:after="0" w:line="12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Third quarter total revenue of $777.2 million, up 367% year-over-year</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Number of customers contributing more than $100,000 in TTM revenue up 136% year-over-year</w:t>
      </w:r>
    </w:p>
    <w:p>
      <w:pPr>
        <w:spacing w:after="0" w:line="117" w:lineRule="exact"/>
        <w:rPr>
          <w:rFonts w:ascii="Arial" w:cs="Arial" w:eastAsia="Arial" w:hAnsi="Arial"/>
          <w:sz w:val="18"/>
          <w:szCs w:val="18"/>
          <w:b w:val="1"/>
          <w:bCs w:val="1"/>
          <w:i w:val="1"/>
          <w:i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Approximately 433,700 customers with more than 10 employees, up 485% year-over-year</w:t>
      </w:r>
    </w:p>
    <w:p>
      <w:pPr>
        <w:spacing w:after="0" w:line="221"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 xml:space="preserve">SAN JOSE, California – </w:t>
      </w:r>
      <w:r>
        <w:rPr>
          <w:rFonts w:ascii="Arial" w:cs="Arial" w:eastAsia="Arial" w:hAnsi="Arial"/>
          <w:sz w:val="18"/>
          <w:szCs w:val="18"/>
          <w:color w:val="auto"/>
        </w:rPr>
        <w:t>November 30, 2020 – Zoom Video Communications, Inc. (NASDAQ: ZM), a leading provider of video-first unified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today announced financial results for the third fiscal quarter ended October 31, 2020.</w:t>
      </w:r>
    </w:p>
    <w:p>
      <w:pPr>
        <w:spacing w:after="0" w:line="19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remain focused on the communication needs of our customers and communities as they navigate the current environment and adapt to a new world of work from anywhere using Zoom. We aspire to provide the most innovative, secure, reliable, and high-quality communications platform to help people connect, collaborate, build and learn on Zoom,” said Zoom founder and CEO, Eric S. Yuan. “Strong demand and execution led to revenue growth of 367% year-over-year with solid growth in non-GAAP operating income and cash flow in our third fiscal quarter. We expect to strengthen our market position as we finish the fiscal year with an increased total revenue outlook of approximately $2.575 billion to $2.580 billion for fiscal year 2021, or approximately 314% increase year-over-year.”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Year 2021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third quarter was $777.2 million, up 367% year-over-year.</w:t>
      </w:r>
    </w:p>
    <w:p>
      <w:pPr>
        <w:spacing w:after="0" w:line="117" w:lineRule="exact"/>
        <w:rPr>
          <w:rFonts w:ascii="Arial" w:cs="Arial" w:eastAsia="Arial" w:hAnsi="Arial"/>
          <w:sz w:val="18"/>
          <w:szCs w:val="18"/>
          <w:b w:val="1"/>
          <w:bCs w:val="1"/>
          <w:color w:val="auto"/>
        </w:rPr>
      </w:pPr>
    </w:p>
    <w:p>
      <w:pPr>
        <w:ind w:left="980" w:right="2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Income (Loss) from Operations and Operating Margin: </w:t>
      </w:r>
      <w:r>
        <w:rPr>
          <w:rFonts w:ascii="Arial" w:cs="Arial" w:eastAsia="Arial" w:hAnsi="Arial"/>
          <w:sz w:val="18"/>
          <w:szCs w:val="18"/>
          <w:color w:val="auto"/>
        </w:rPr>
        <w:t>GAAP income from operations for the third quarter was $192.2 million,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GAAP loss from operations of $1.7 million in the third quarter of fiscal year 2020. After adjusting for stock-based compensation expense and related payroll taxes, and acquisition-related expenses, non-GAAP income from operations for the third quarter was $290.8 million, up from $21.3 million in the third quarter of fiscal year 2020. For the third quarter, GAAP operating margin was 24.7% and non-GAAP operating margin was 37.4%.</w:t>
      </w:r>
    </w:p>
    <w:p>
      <w:pPr>
        <w:spacing w:after="0" w:line="183" w:lineRule="exact"/>
        <w:rPr>
          <w:rFonts w:ascii="Arial" w:cs="Arial" w:eastAsia="Arial" w:hAnsi="Arial"/>
          <w:sz w:val="18"/>
          <w:szCs w:val="18"/>
          <w:color w:val="auto"/>
        </w:rPr>
      </w:pPr>
    </w:p>
    <w:p>
      <w:pPr>
        <w:jc w:val="both"/>
        <w:ind w:left="980" w:right="20" w:hanging="324"/>
        <w:spacing w:after="0" w:line="266"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and Net Income Per Share: </w:t>
      </w:r>
      <w:r>
        <w:rPr>
          <w:rFonts w:ascii="Arial" w:cs="Arial" w:eastAsia="Arial" w:hAnsi="Arial"/>
          <w:sz w:val="18"/>
          <w:szCs w:val="18"/>
          <w:color w:val="auto"/>
        </w:rPr>
        <w:t>GAAP net income attributable to common stockholders for the third quarter was $198.4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$0.66 per share, compared to GAAP net income attributable to common stockholders of $2.2 million, or $0.01 per share in the third quarter of fiscal year 2020.</w:t>
      </w:r>
    </w:p>
    <w:p>
      <w:pPr>
        <w:spacing w:after="0" w:line="71" w:lineRule="exact"/>
        <w:rPr>
          <w:rFonts w:ascii="Arial" w:cs="Arial" w:eastAsia="Arial" w:hAnsi="Arial"/>
          <w:sz w:val="18"/>
          <w:szCs w:val="18"/>
          <w:b w:val="1"/>
          <w:bCs w:val="1"/>
          <w:color w:val="auto"/>
        </w:rPr>
      </w:pPr>
    </w:p>
    <w:p>
      <w:pPr>
        <w:ind w:left="98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Non-GAAP net income for the quarter was $297.2 million, after adjusting for stock-based compensation expense and related payroll taxes, acquisition-related expenses, and undistributed earnings attributable to participating securities. Non-GAAP net income per share was $0.99. In the third quarter of fiscal year 2020, non-GAAP net income was $25.2 million, or $0.09 per share.</w:t>
      </w:r>
    </w:p>
    <w:p>
      <w:pPr>
        <w:spacing w:after="0" w:line="161"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w:t>
      </w:r>
      <w:r>
        <w:rPr>
          <w:rFonts w:ascii="Arial" w:cs="Arial" w:eastAsia="Arial" w:hAnsi="Arial"/>
          <w:sz w:val="17"/>
          <w:szCs w:val="17"/>
          <w:color w:val="auto"/>
        </w:rPr>
        <w:t>Total cash, cash equivalents, and marketable securities, excluding restricted cash, as of October 31, 2020 was $1.9 billion.</w:t>
      </w:r>
    </w:p>
    <w:p>
      <w:pPr>
        <w:spacing w:after="0" w:line="128" w:lineRule="exact"/>
        <w:rPr>
          <w:rFonts w:ascii="Arial" w:cs="Arial" w:eastAsia="Arial" w:hAnsi="Arial"/>
          <w:sz w:val="17"/>
          <w:szCs w:val="17"/>
          <w:b w:val="1"/>
          <w:bCs w:val="1"/>
          <w:color w:val="auto"/>
        </w:rPr>
      </w:pPr>
    </w:p>
    <w:p>
      <w:pPr>
        <w:ind w:left="980" w:right="120" w:hanging="324"/>
        <w:spacing w:after="0" w:line="266"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Net cash provided by operating activities was $411.5 million for the third quarter, compared to $61.9 million in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fiscal year 2020. Free cash flow, which is net cash provided by operating activities less purchases of property and equipment, was $388.2 million, compared to $54.7 million in the third quarter of fiscal year 2020.</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Customer Metrics: </w:t>
      </w:r>
      <w:r>
        <w:rPr>
          <w:rFonts w:ascii="Arial" w:cs="Arial" w:eastAsia="Arial" w:hAnsi="Arial"/>
          <w:sz w:val="18"/>
          <w:szCs w:val="18"/>
          <w:color w:val="auto"/>
        </w:rPr>
        <w:t>Drivers of total revenue included acquiring new customers and expanding across existing customers. At the end of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2021, Zoom had:</w:t>
      </w:r>
    </w:p>
    <w:p>
      <w:pPr>
        <w:spacing w:after="0" w:line="5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Approximately 433,700 customers with more than 10 employees, up approximately 485% from the same quarter last fiscal year.</w:t>
      </w:r>
    </w:p>
    <w:p>
      <w:pPr>
        <w:spacing w:after="0" w:line="117" w:lineRule="exact"/>
        <w:rPr>
          <w:rFonts w:ascii="Arial" w:cs="Arial" w:eastAsia="Arial" w:hAnsi="Arial"/>
          <w:sz w:val="18"/>
          <w:szCs w:val="18"/>
          <w:b w:val="1"/>
          <w:bCs w:val="1"/>
          <w:color w:val="auto"/>
        </w:rPr>
      </w:pPr>
    </w:p>
    <w:p>
      <w:pPr>
        <w:ind w:left="980" w:right="340" w:hanging="324"/>
        <w:spacing w:after="0" w:line="277" w:lineRule="auto"/>
        <w:tabs>
          <w:tab w:leader="none" w:pos="97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1,289 customers contributing more than $100,000 in trailing 12 months revenue, up approximately 136% from the same quarter last fiscal year.</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10th consecutive quarter.</w:t>
      </w:r>
    </w:p>
    <w:p>
      <w:pPr>
        <w:sectPr>
          <w:pgSz w:w="11900" w:h="16838" w:orient="portrait"/>
          <w:cols w:equalWidth="0" w:num="1">
            <w:col w:w="11240"/>
          </w:cols>
          <w:pgMar w:left="320" w:top="1138" w:right="339" w:bottom="1440" w:gutter="0" w:footer="0" w:header="0"/>
        </w:sectPr>
      </w:pPr>
    </w:p>
    <w:bookmarkStart w:id="4" w:name="page5"/>
    <w:bookmarkEnd w:id="4"/>
    <w:p>
      <w:pPr>
        <w:ind w:right="100"/>
        <w:spacing w:after="0" w:line="266" w:lineRule="auto"/>
        <w:rPr>
          <w:sz w:val="20"/>
          <w:szCs w:val="20"/>
          <w:color w:val="auto"/>
        </w:rPr>
      </w:pPr>
      <w:r>
        <w:rPr>
          <w:rFonts w:ascii="Arial" w:cs="Arial" w:eastAsia="Arial" w:hAnsi="Arial"/>
          <w:sz w:val="18"/>
          <w:szCs w:val="18"/>
          <w:b w:val="1"/>
          <w:bCs w:val="1"/>
          <w:color w:val="auto"/>
        </w:rPr>
        <w:t xml:space="preserve">Financial Outlook: </w:t>
      </w:r>
      <w:r>
        <w:rPr>
          <w:rFonts w:ascii="Arial" w:cs="Arial" w:eastAsia="Arial" w:hAnsi="Arial"/>
          <w:sz w:val="18"/>
          <w:szCs w:val="18"/>
          <w:color w:val="auto"/>
        </w:rPr>
        <w:t>Zoom is providing the following guidance for its fourth quarter fiscal year 2021 and its full fiscal year 2021. Zoom's revenue outlook</w:t>
      </w:r>
      <w:r>
        <w:rPr>
          <w:rFonts w:ascii="Arial" w:cs="Arial" w:eastAsia="Arial" w:hAnsi="Arial"/>
          <w:sz w:val="18"/>
          <w:szCs w:val="18"/>
          <w:b w:val="1"/>
          <w:bCs w:val="1"/>
          <w:color w:val="auto"/>
        </w:rPr>
        <w:t xml:space="preserve"> </w:t>
      </w:r>
      <w:r>
        <w:rPr>
          <w:rFonts w:ascii="Arial" w:cs="Arial" w:eastAsia="Arial" w:hAnsi="Arial"/>
          <w:sz w:val="18"/>
          <w:szCs w:val="18"/>
          <w:color w:val="auto"/>
        </w:rPr>
        <w:t>takes into consideration the demand for remote work solutions for businesses. It also assumes increased churn in the fourth quarter when compared to historic churn levels due to a higher percentage of customers who purchased monthly subscriptions.</w:t>
      </w:r>
    </w:p>
    <w:p>
      <w:pPr>
        <w:spacing w:after="0" w:line="72" w:lineRule="exact"/>
        <w:rPr>
          <w:sz w:val="20"/>
          <w:szCs w:val="20"/>
          <w:color w:val="auto"/>
        </w:rPr>
      </w:pPr>
    </w:p>
    <w:p>
      <w:pPr>
        <w:ind w:left="980" w:right="120" w:hanging="324"/>
        <w:spacing w:after="0" w:line="263"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Fourth Quarter Fiscal Year 2021: Total revenue is expected to be between $806.0 million and $811.0 million and non-GAAP income from operations is expected to be between $243.0 million and $248.0 million. Non-GAAP diluted EPS is expected to be between $0.77 and $0.79 with approximately 306 million non-GAAP weighted average shares outstanding.</w:t>
      </w:r>
    </w:p>
    <w:p>
      <w:pPr>
        <w:spacing w:after="0" w:line="75" w:lineRule="exact"/>
        <w:rPr>
          <w:rFonts w:ascii="Arial" w:cs="Arial" w:eastAsia="Arial" w:hAnsi="Arial"/>
          <w:sz w:val="18"/>
          <w:szCs w:val="18"/>
          <w:b w:val="1"/>
          <w:bCs w:val="1"/>
          <w:color w:val="auto"/>
        </w:rPr>
      </w:pPr>
    </w:p>
    <w:p>
      <w:pPr>
        <w:ind w:left="980" w:right="42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Fiscal Year 2021: Total revenue is expected to be between $2.575 billion and $2.580 billion. Non-GAAP income from operations is expected to be between $865.0 million and $870.0 million. Non-GAAP diluted EPS is expected to be between $2.85 and $2.87 with approximately 300 million non-GAAP weighted average shares outstanding.</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Earnings Call</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Zoom will host a Zoom Video Webinar for investors on November 30, 2020 at 2:30 p.m. Pacific Time / 5:30 p.m. Eastern Time to discuss the company’s financial results and business highlights. Investors are invited to join the Zoom Video Webinar by visiting: https://investors.zoom.us/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Zoom Video Communications, Inc. (NASDAQ: ZM) brings teams together to get more done in a frictionless and secure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 and follow @zoom_us.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press release contains express and implied “forward-looking statements” within the meaning of the Private Securities Litigation Reform Act of 1995, including statements regarding our financial outlook for the fourth quarter of fiscal year 2021 and full fiscal year 2021, Zoom’s growth strategy and business aspirations for its video-first unified communications platform, its market position, and the continued impact of COVID-19 on its business and operations.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quarter ended July 31, 2020.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pgSz w:w="11900" w:h="16838" w:orient="portrait"/>
          <w:cols w:equalWidth="0" w:num="1">
            <w:col w:w="11200"/>
          </w:cols>
          <w:pgMar w:left="320" w:top="110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Non-GAAP Income From Operations and Non-GAAP Operating Margins. Zoom defines non-GAAP income from operations as income from operations excluding stock-based compensation expense and related payroll taxes, expenses related to charitable donation of common stock and acquisition-related expenses.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8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Metrics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Relations</w:t>
      </w:r>
    </w:p>
    <w:p>
      <w:pPr>
        <w:sectPr>
          <w:pgSz w:w="11900" w:h="16838" w:orient="portrait"/>
          <w:cols w:equalWidth="0" w:num="1">
            <w:col w:w="11220"/>
          </w:cols>
          <w:pgMar w:left="320" w:top="110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Colleen Rodriguez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Global Media Relations Lead for Zoom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press@zoom.us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 for Zoom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investors@zoom.us</w:t>
      </w:r>
    </w:p>
    <w:p>
      <w:pPr>
        <w:sectPr>
          <w:pgSz w:w="11900" w:h="16838" w:orient="portrait"/>
          <w:cols w:equalWidth="0" w:num="1">
            <w:col w:w="10139"/>
          </w:cols>
          <w:pgMar w:left="320" w:top="111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r>
      <w:tr>
        <w:trPr>
          <w:trHeight w:val="134"/>
        </w:trPr>
        <w:tc>
          <w:tcPr>
            <w:tcW w:w="8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1"/>
                <w:szCs w:val="11"/>
                <w:color w:val="auto"/>
              </w:rPr>
            </w:pPr>
          </w:p>
        </w:tc>
        <w:tc>
          <w:tcPr>
            <w:tcW w:w="1200" w:type="dxa"/>
            <w:vAlign w:val="bottom"/>
          </w:tcPr>
          <w:p>
            <w:pPr>
              <w:jc w:val="right"/>
              <w:ind w:right="271"/>
              <w:spacing w:after="0" w:line="135" w:lineRule="exact"/>
              <w:rPr>
                <w:sz w:val="20"/>
                <w:szCs w:val="20"/>
                <w:color w:val="auto"/>
              </w:rPr>
            </w:pPr>
            <w:r>
              <w:rPr>
                <w:rFonts w:ascii="Arial" w:cs="Arial" w:eastAsia="Arial" w:hAnsi="Arial"/>
                <w:sz w:val="14"/>
                <w:szCs w:val="14"/>
                <w:b w:val="1"/>
                <w:bCs w:val="1"/>
                <w:color w:val="auto"/>
              </w:rPr>
              <w:t>January 31,</w:t>
            </w:r>
          </w:p>
        </w:tc>
      </w:tr>
      <w:tr>
        <w:trPr>
          <w:trHeight w:val="188"/>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283,134</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572,060</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120,435</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Deferred contract acquisition costs, current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44,885</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75,008</w:t>
            </w:r>
          </w:p>
        </w:tc>
      </w:tr>
      <w:tr>
        <w:trPr>
          <w:trHeight w:val="223"/>
        </w:trPr>
        <w:tc>
          <w:tcPr>
            <w:tcW w:w="826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2,624,276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1,095,522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57,138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3,050,311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1,289,845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122,692</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current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209,542</w:t>
            </w:r>
          </w:p>
        </w:tc>
      </w:tr>
      <w:tr>
        <w:trPr>
          <w:trHeight w:val="223"/>
        </w:trPr>
        <w:tc>
          <w:tcPr>
            <w:tcW w:w="826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1,413,948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333,830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64,792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1,550,393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455,902</w:t>
            </w:r>
          </w:p>
        </w:tc>
      </w:tr>
      <w:tr>
        <w:trPr>
          <w:trHeight w:val="250"/>
        </w:trPr>
        <w:tc>
          <w:tcPr>
            <w:tcW w:w="8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832,705</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1,499,918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833,943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1,289,845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The amount of unbilled accounts receivable included within accounts receivable, net on the condensed consolidated balance sheets was $21.9 million and $12.5 million as of October 31, 2020 and January 31, 2020, respectively.</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434,407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351,558</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470,886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239,741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349,415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other,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before (benefit from) provision for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7"/>
              </w:rPr>
              <w:t>Weighted-average shares used in computing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284,783,006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273,316,850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282,564,481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219,295,445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299,258,765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292,771,122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297,605,941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241,512,569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October 31,</w:t>
            </w:r>
          </w:p>
        </w:tc>
        <w:tc>
          <w:tcPr>
            <w:tcW w:w="240" w:type="dxa"/>
            <w:vAlign w:val="bottom"/>
          </w:tcPr>
          <w:p>
            <w:pPr>
              <w:spacing w:after="0"/>
              <w:rPr>
                <w:sz w:val="18"/>
                <w:szCs w:val="18"/>
                <w:color w:val="auto"/>
              </w:rPr>
            </w:pPr>
          </w:p>
        </w:tc>
        <w:tc>
          <w:tcPr>
            <w:tcW w:w="27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6"/>
              </w:rPr>
              <w:t>Nine Months Ended October 31,</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198,642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2,211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411,706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9,966</w:t>
            </w: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93,925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46,532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c>
          <w:tcPr>
            <w:tcW w:w="12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71,281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25,939</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Charitable donation of common stock</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12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11,589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operating lease cost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Arial" w:cs="Arial" w:eastAsia="Arial" w:hAnsi="Arial"/>
                <w:sz w:val="16"/>
                <w:szCs w:val="16"/>
                <w:color w:val="auto"/>
              </w:rPr>
              <w:t>Remeasurement gain on equity investment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(36,886)</w:t>
            </w:r>
          </w:p>
        </w:tc>
        <w:tc>
          <w:tcPr>
            <w:tcW w:w="0" w:type="dxa"/>
            <w:vAlign w:val="bottom"/>
          </w:tcPr>
          <w:p>
            <w:pPr>
              <w:spacing w:after="0"/>
              <w:rPr>
                <w:sz w:val="1"/>
                <w:szCs w:val="1"/>
                <w:color w:val="auto"/>
              </w:rPr>
            </w:pPr>
          </w:p>
        </w:tc>
      </w:tr>
      <w:tr>
        <w:trPr>
          <w:trHeight w:val="213"/>
        </w:trPr>
        <w:tc>
          <w:tcPr>
            <w:tcW w:w="5160" w:type="dxa"/>
            <w:vAlign w:val="bottom"/>
          </w:tcPr>
          <w:p>
            <w:pPr>
              <w:ind w:left="4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(22,439)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contract acquisition costs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(50,824)</w:t>
            </w:r>
          </w:p>
        </w:tc>
        <w:tc>
          <w:tcPr>
            <w:tcW w:w="0" w:type="dxa"/>
            <w:vAlign w:val="bottom"/>
          </w:tcPr>
          <w:p>
            <w:pPr>
              <w:spacing w:after="0"/>
              <w:rPr>
                <w:sz w:val="1"/>
                <w:szCs w:val="1"/>
                <w:color w:val="auto"/>
              </w:rPr>
            </w:pPr>
          </w:p>
        </w:tc>
      </w:tr>
      <w:tr>
        <w:trPr>
          <w:trHeight w:val="213"/>
        </w:trPr>
        <w:tc>
          <w:tcPr>
            <w:tcW w:w="516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53,485</w:t>
            </w:r>
          </w:p>
        </w:tc>
        <w:tc>
          <w:tcPr>
            <w:tcW w:w="0" w:type="dxa"/>
            <w:vAlign w:val="bottom"/>
          </w:tcPr>
          <w:p>
            <w:pPr>
              <w:spacing w:after="0"/>
              <w:rPr>
                <w:sz w:val="1"/>
                <w:szCs w:val="1"/>
                <w:color w:val="auto"/>
              </w:rPr>
            </w:pPr>
          </w:p>
        </w:tc>
      </w:tr>
      <w:tr>
        <w:trPr>
          <w:trHeight w:val="213"/>
        </w:trPr>
        <w:tc>
          <w:tcPr>
            <w:tcW w:w="5160" w:type="dxa"/>
            <w:vAlign w:val="bottom"/>
          </w:tcPr>
          <w:p>
            <w:pPr>
              <w:ind w:left="4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114,451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633,600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76,579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lease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07"/>
        </w:trPr>
        <w:tc>
          <w:tcPr>
            <w:tcW w:w="516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411,470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61,930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1,071,781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115,338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(531,227)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(150,620)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(1,016,109)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(629,107)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marketable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164,140</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Sales of marketable securities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36,897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(28,132)</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Sales of property and equipment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Purchase of equity investment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convertible promissory note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Purchase of intangible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Collections of employee loans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16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(437,816)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(47,615)</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(673,377)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(496,099)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160" w:type="dxa"/>
            <w:vAlign w:val="bottom"/>
          </w:tcPr>
          <w:p>
            <w:pPr>
              <w:ind w:left="220"/>
              <w:spacing w:after="0" w:line="166" w:lineRule="exact"/>
              <w:rPr>
                <w:sz w:val="20"/>
                <w:szCs w:val="20"/>
                <w:color w:val="auto"/>
              </w:rPr>
            </w:pPr>
            <w:r>
              <w:rPr>
                <w:rFonts w:ascii="Arial" w:cs="Arial" w:eastAsia="Arial" w:hAnsi="Arial"/>
                <w:sz w:val="16"/>
                <w:szCs w:val="16"/>
                <w:color w:val="auto"/>
                <w:w w:val="95"/>
              </w:rPr>
              <w:t>Proceeds from employee equity transactions to be remitted to employees</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17,176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48,547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251,641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48,547</w:t>
            </w:r>
          </w:p>
        </w:tc>
        <w:tc>
          <w:tcPr>
            <w:tcW w:w="0" w:type="dxa"/>
            <w:vAlign w:val="bottom"/>
          </w:tcPr>
          <w:p>
            <w:pPr>
              <w:spacing w:after="0"/>
              <w:rPr>
                <w:sz w:val="1"/>
                <w:szCs w:val="1"/>
                <w:color w:val="auto"/>
              </w:rPr>
            </w:pPr>
          </w:p>
        </w:tc>
      </w:tr>
      <w:tr>
        <w:trPr>
          <w:trHeight w:val="209"/>
        </w:trPr>
        <w:tc>
          <w:tcPr>
            <w:tcW w:w="5160" w:type="dxa"/>
            <w:vAlign w:val="bottom"/>
          </w:tcPr>
          <w:p>
            <w:pPr>
              <w:ind w:left="220"/>
              <w:spacing w:after="0"/>
              <w:rPr>
                <w:sz w:val="20"/>
                <w:szCs w:val="20"/>
                <w:color w:val="auto"/>
              </w:rPr>
            </w:pPr>
            <w:r>
              <w:rPr>
                <w:rFonts w:ascii="Arial" w:cs="Arial" w:eastAsia="Arial" w:hAnsi="Arial"/>
                <w:sz w:val="16"/>
                <w:szCs w:val="16"/>
                <w:color w:val="auto"/>
              </w:rPr>
              <w:t>and tax authorities, net</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 net of repurchases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w:t>
            </w:r>
          </w:p>
        </w:tc>
        <w:tc>
          <w:tcPr>
            <w:tcW w:w="0" w:type="dxa"/>
            <w:vAlign w:val="bottom"/>
          </w:tcPr>
          <w:p>
            <w:pPr>
              <w:spacing w:after="0"/>
              <w:rPr>
                <w:sz w:val="1"/>
                <w:szCs w:val="1"/>
                <w:color w:val="auto"/>
              </w:rPr>
            </w:pPr>
          </w:p>
        </w:tc>
      </w:tr>
      <w:tr>
        <w:trPr>
          <w:trHeight w:val="166"/>
        </w:trPr>
        <w:tc>
          <w:tcPr>
            <w:tcW w:w="5160" w:type="dxa"/>
            <w:vAlign w:val="bottom"/>
          </w:tcPr>
          <w:p>
            <w:pPr>
              <w:ind w:left="240"/>
              <w:spacing w:after="0" w:line="166" w:lineRule="exact"/>
              <w:rPr>
                <w:sz w:val="20"/>
                <w:szCs w:val="20"/>
                <w:color w:val="auto"/>
              </w:rPr>
            </w:pPr>
            <w:r>
              <w:rPr>
                <w:rFonts w:ascii="Arial" w:cs="Arial" w:eastAsia="Arial" w:hAnsi="Arial"/>
                <w:sz w:val="16"/>
                <w:szCs w:val="16"/>
                <w:color w:val="auto"/>
                <w:w w:val="96"/>
              </w:rPr>
              <w:t>Proceeds from issuance of common stock for employee stock purchase</w:t>
            </w:r>
          </w:p>
        </w:tc>
        <w:tc>
          <w:tcPr>
            <w:tcW w:w="2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20,760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tcPr>
          <w:p>
            <w:pPr>
              <w:ind w:left="240"/>
              <w:spacing w:after="0"/>
              <w:rPr>
                <w:sz w:val="20"/>
                <w:szCs w:val="20"/>
                <w:color w:val="auto"/>
              </w:rPr>
            </w:pPr>
            <w:r>
              <w:rPr>
                <w:rFonts w:ascii="Arial" w:cs="Arial" w:eastAsia="Arial" w:hAnsi="Arial"/>
                <w:sz w:val="16"/>
                <w:szCs w:val="16"/>
                <w:color w:val="auto"/>
              </w:rPr>
              <w:t>plan</w:t>
            </w: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Proceeds from initial public offering and private placement, net of</w:t>
            </w:r>
          </w:p>
        </w:tc>
        <w:tc>
          <w:tcPr>
            <w:tcW w:w="2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542,492</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underwriting discounts and commissions and other offering costs</w:t>
            </w:r>
          </w:p>
        </w:tc>
        <w:tc>
          <w:tcPr>
            <w:tcW w:w="2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23,600</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51,485</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296,242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596,623</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215,862</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1,031,474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65,968</w:t>
            </w:r>
          </w:p>
        </w:tc>
        <w:tc>
          <w:tcPr>
            <w:tcW w:w="0" w:type="dxa"/>
            <w:vAlign w:val="bottom"/>
          </w:tcPr>
          <w:p>
            <w:pPr>
              <w:spacing w:after="0"/>
              <w:rPr>
                <w:sz w:val="1"/>
                <w:szCs w:val="1"/>
                <w:color w:val="auto"/>
              </w:rPr>
            </w:pPr>
          </w:p>
        </w:tc>
      </w:tr>
      <w:tr>
        <w:trPr>
          <w:trHeight w:val="23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1,028,728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1,028,728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34" w:right="3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28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(loss)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48,079</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Charitable donation of common stock</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Non-GAAP 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290,771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622,362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GAAP net income attributable to common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198,440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411,175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97,131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188,979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48,079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Charitable donation of common stock</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Acquisition-related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income per share - basic and diluted: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GAAP 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20"/>
              <w:spacing w:after="0" w:line="203" w:lineRule="exact"/>
              <w:rPr>
                <w:sz w:val="20"/>
                <w:szCs w:val="20"/>
                <w:color w:val="auto"/>
              </w:rPr>
            </w:pPr>
            <w:r>
              <w:rPr>
                <w:rFonts w:ascii="Arial" w:cs="Arial" w:eastAsia="Arial" w:hAnsi="Arial"/>
                <w:sz w:val="18"/>
                <w:szCs w:val="18"/>
                <w:color w:val="auto"/>
              </w:rPr>
              <w:t>GAAP net income per share -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20"/>
              <w:spacing w:after="0" w:line="203" w:lineRule="exact"/>
              <w:rPr>
                <w:sz w:val="20"/>
                <w:szCs w:val="20"/>
                <w:color w:val="auto"/>
              </w:rPr>
            </w:pPr>
            <w:r>
              <w:rPr>
                <w:rFonts w:ascii="Arial" w:cs="Arial" w:eastAsia="Arial" w:hAnsi="Arial"/>
                <w:sz w:val="18"/>
                <w:szCs w:val="18"/>
                <w:color w:val="auto"/>
              </w:rPr>
              <w:t>Non-GAAP net income per share -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w w:val="98"/>
              </w:rPr>
              <w:t>GAAP weighted-average shares used to compute net income per</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284,783,006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273,316,850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282,564,481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219,295,445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share - basic</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20"/>
              <w:spacing w:after="0" w:line="176" w:lineRule="exact"/>
              <w:rPr>
                <w:sz w:val="20"/>
                <w:szCs w:val="20"/>
                <w:color w:val="auto"/>
              </w:rPr>
            </w:pPr>
            <w:r>
              <w:rPr>
                <w:rFonts w:ascii="Arial" w:cs="Arial" w:eastAsia="Arial" w:hAnsi="Arial"/>
                <w:sz w:val="18"/>
                <w:szCs w:val="18"/>
                <w:color w:val="auto"/>
                <w:w w:val="97"/>
              </w:rPr>
              <w:t>Non-GAAP unweighted adjustment for common stock issued in</w:t>
            </w:r>
          </w:p>
        </w:tc>
        <w:tc>
          <w:tcPr>
            <w:tcW w:w="2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50,116,650</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connection with IPO</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Non-GAAP weighted-average shares used to compute net income per</w:t>
            </w: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284,783,006</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273,316,850</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282,564,481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269,412,095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share - basic</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GAAP weighted-average shares used to compute net income per</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299,258,765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292,771,122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297,605,941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241,512,569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 diluted</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Non-GAAP unweighted adjustment for common stock issued in</w:t>
            </w:r>
          </w:p>
        </w:tc>
        <w:tc>
          <w:tcPr>
            <w:tcW w:w="2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50,116,650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connection with IPO</w:t>
            </w: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160" w:type="dxa"/>
            <w:vAlign w:val="bottom"/>
          </w:tcPr>
          <w:p>
            <w:pPr>
              <w:ind w:left="20"/>
              <w:spacing w:after="0" w:line="156" w:lineRule="exact"/>
              <w:rPr>
                <w:sz w:val="20"/>
                <w:szCs w:val="20"/>
                <w:color w:val="auto"/>
              </w:rPr>
            </w:pPr>
            <w:r>
              <w:rPr>
                <w:rFonts w:ascii="Arial" w:cs="Arial" w:eastAsia="Arial" w:hAnsi="Arial"/>
                <w:sz w:val="18"/>
                <w:szCs w:val="18"/>
                <w:color w:val="auto"/>
                <w:w w:val="91"/>
              </w:rPr>
              <w:t>Non-GAAP weighted-average shares used to compute net income per</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299,258,765</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292,771,122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297,605,941</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291,629,219</w:t>
            </w: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share - diluted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411,470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1,071,781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115,338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(28,132)</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line="203" w:lineRule="exact"/>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(437,816)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(47,615)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(673,377)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(496,099)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596,623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8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2020-11-30T15:07:41Z</dcterms:created>
  <dcterms:modified xsi:type="dcterms:W3CDTF">2020-11-30T15:07:41Z</dcterms:modified>
</cp:coreProperties>
</file>