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679450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704215</wp:posOffset>
            </wp:positionV>
            <wp:extent cx="712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8255"/>
                    </a:xfrm>
                    <a:prstGeom prst="rect">
                      <a:avLst/>
                    </a:prstGeom>
                    <a:noFill/>
                  </pic:spPr>
                </pic:pic>
              </a:graphicData>
            </a:graphic>
          </wp:anchor>
        </w:drawing>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5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May 21, 2026</w:t>
      </w:r>
    </w:p>
    <w:p>
      <w:pPr>
        <w:spacing w:after="0" w:line="3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Zoom Communications, Inc.</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28" w:lineRule="exact"/>
        <w:rPr>
          <w:sz w:val="24"/>
          <w:szCs w:val="24"/>
          <w:color w:val="auto"/>
        </w:rPr>
      </w:pPr>
    </w:p>
    <w:tbl>
      <w:tblPr>
        <w:tblLayout w:type="fixed"/>
        <w:tblInd w:w="1060" w:type="dxa"/>
        <w:tblCellMar>
          <w:top w:w="0" w:type="dxa"/>
          <w:left w:w="0" w:type="dxa"/>
          <w:bottom w:w="0" w:type="dxa"/>
          <w:right w:w="0" w:type="dxa"/>
        </w:tblCellMar>
      </w:tblPr>
      <w:tr>
        <w:trPr>
          <w:trHeight w:val="246"/>
        </w:trPr>
        <w:tc>
          <w:tcPr>
            <w:tcW w:w="2120" w:type="dxa"/>
            <w:vAlign w:val="bottom"/>
          </w:tcPr>
          <w:p>
            <w:pPr>
              <w:jc w:val="center"/>
              <w:ind w:right="403"/>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5020" w:type="dxa"/>
            <w:vAlign w:val="bottom"/>
          </w:tcPr>
          <w:p>
            <w:pPr>
              <w:jc w:val="center"/>
              <w:ind w:right="77"/>
              <w:spacing w:after="0"/>
              <w:rPr>
                <w:sz w:val="20"/>
                <w:szCs w:val="20"/>
                <w:color w:val="auto"/>
              </w:rPr>
            </w:pPr>
            <w:r>
              <w:rPr>
                <w:rFonts w:ascii="Times New Roman" w:cs="Times New Roman" w:eastAsia="Times New Roman" w:hAnsi="Times New Roman"/>
                <w:sz w:val="19"/>
                <w:szCs w:val="19"/>
                <w:b w:val="1"/>
                <w:bCs w:val="1"/>
                <w:color w:val="auto"/>
                <w:w w:val="99"/>
              </w:rPr>
              <w:t>001-38865</w:t>
            </w: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9"/>
                <w:szCs w:val="19"/>
                <w:b w:val="1"/>
                <w:bCs w:val="1"/>
                <w:color w:val="auto"/>
              </w:rPr>
              <w:t>61-1648780</w:t>
            </w:r>
          </w:p>
        </w:tc>
        <w:tc>
          <w:tcPr>
            <w:tcW w:w="0" w:type="dxa"/>
            <w:vAlign w:val="bottom"/>
          </w:tcPr>
          <w:p>
            <w:pPr>
              <w:spacing w:after="0"/>
              <w:rPr>
                <w:sz w:val="1"/>
                <w:szCs w:val="1"/>
                <w:color w:val="auto"/>
              </w:rPr>
            </w:pPr>
          </w:p>
        </w:tc>
      </w:tr>
      <w:tr>
        <w:trPr>
          <w:trHeight w:val="142"/>
        </w:trPr>
        <w:tc>
          <w:tcPr>
            <w:tcW w:w="2120" w:type="dxa"/>
            <w:vAlign w:val="bottom"/>
          </w:tcPr>
          <w:p>
            <w:pPr>
              <w:jc w:val="center"/>
              <w:ind w:right="403"/>
              <w:spacing w:after="0" w:line="142" w:lineRule="exact"/>
              <w:rPr>
                <w:sz w:val="20"/>
                <w:szCs w:val="20"/>
                <w:color w:val="auto"/>
              </w:rPr>
            </w:pPr>
            <w:r>
              <w:rPr>
                <w:rFonts w:ascii="Times New Roman" w:cs="Times New Roman" w:eastAsia="Times New Roman" w:hAnsi="Times New Roman"/>
                <w:sz w:val="14"/>
                <w:szCs w:val="14"/>
                <w:b w:val="1"/>
                <w:bCs w:val="1"/>
                <w:color w:val="auto"/>
                <w:w w:val="98"/>
              </w:rPr>
              <w:t>(State or Other Jurisdiction</w:t>
            </w:r>
          </w:p>
        </w:tc>
        <w:tc>
          <w:tcPr>
            <w:tcW w:w="502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(Commission File Number)</w:t>
            </w:r>
          </w:p>
        </w:tc>
        <w:tc>
          <w:tcPr>
            <w:tcW w:w="1700" w:type="dxa"/>
            <w:vAlign w:val="bottom"/>
          </w:tcPr>
          <w:p>
            <w:pPr>
              <w:jc w:val="center"/>
              <w:ind w:left="543"/>
              <w:spacing w:after="0" w:line="142" w:lineRule="exact"/>
              <w:rPr>
                <w:sz w:val="20"/>
                <w:szCs w:val="20"/>
                <w:color w:val="auto"/>
              </w:rPr>
            </w:pPr>
            <w:r>
              <w:rPr>
                <w:rFonts w:ascii="Times New Roman" w:cs="Times New Roman" w:eastAsia="Times New Roman" w:hAnsi="Times New Roman"/>
                <w:sz w:val="14"/>
                <w:szCs w:val="14"/>
                <w:b w:val="1"/>
                <w:bCs w:val="1"/>
                <w:color w:val="auto"/>
                <w:w w:val="97"/>
              </w:rPr>
              <w:t>(IRS Employer</w:t>
            </w:r>
          </w:p>
        </w:tc>
        <w:tc>
          <w:tcPr>
            <w:tcW w:w="0" w:type="dxa"/>
            <w:vAlign w:val="bottom"/>
          </w:tcPr>
          <w:p>
            <w:pPr>
              <w:spacing w:after="0"/>
              <w:rPr>
                <w:sz w:val="1"/>
                <w:szCs w:val="1"/>
                <w:color w:val="auto"/>
              </w:rPr>
            </w:pPr>
          </w:p>
        </w:tc>
      </w:tr>
      <w:tr>
        <w:trPr>
          <w:trHeight w:val="183"/>
        </w:trPr>
        <w:tc>
          <w:tcPr>
            <w:tcW w:w="2120" w:type="dxa"/>
            <w:vAlign w:val="bottom"/>
          </w:tcPr>
          <w:p>
            <w:pPr>
              <w:jc w:val="center"/>
              <w:ind w:right="423"/>
              <w:spacing w:after="0"/>
              <w:rPr>
                <w:sz w:val="20"/>
                <w:szCs w:val="20"/>
                <w:color w:val="auto"/>
              </w:rPr>
            </w:pPr>
            <w:r>
              <w:rPr>
                <w:rFonts w:ascii="Times New Roman" w:cs="Times New Roman" w:eastAsia="Times New Roman" w:hAnsi="Times New Roman"/>
                <w:sz w:val="14"/>
                <w:szCs w:val="14"/>
                <w:b w:val="1"/>
                <w:bCs w:val="1"/>
                <w:color w:val="auto"/>
                <w:w w:val="98"/>
              </w:rPr>
              <w:t>of Incorporation)</w:t>
            </w:r>
          </w:p>
        </w:tc>
        <w:tc>
          <w:tcPr>
            <w:tcW w:w="5020" w:type="dxa"/>
            <w:vAlign w:val="bottom"/>
            <w:vMerge w:val="continue"/>
          </w:tcPr>
          <w:p>
            <w:pPr>
              <w:spacing w:after="0"/>
              <w:rPr>
                <w:sz w:val="15"/>
                <w:szCs w:val="15"/>
                <w:color w:val="auto"/>
              </w:rPr>
            </w:pP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c>
          <w:tcPr>
            <w:tcW w:w="0" w:type="dxa"/>
            <w:vAlign w:val="bottom"/>
          </w:tcPr>
          <w:p>
            <w:pPr>
              <w:spacing w:after="0"/>
              <w:rPr>
                <w:sz w:val="1"/>
                <w:szCs w:val="1"/>
                <w:color w:val="auto"/>
              </w:rPr>
            </w:pPr>
          </w:p>
        </w:tc>
      </w:tr>
      <w:tr>
        <w:trPr>
          <w:trHeight w:val="347"/>
        </w:trPr>
        <w:tc>
          <w:tcPr>
            <w:tcW w:w="2120" w:type="dxa"/>
            <w:vAlign w:val="bottom"/>
          </w:tcPr>
          <w:p>
            <w:pPr>
              <w:spacing w:after="0"/>
              <w:rPr>
                <w:sz w:val="24"/>
                <w:szCs w:val="24"/>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9"/>
                <w:szCs w:val="19"/>
                <w:b w:val="1"/>
                <w:bCs w:val="1"/>
                <w:color w:val="auto"/>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120" w:type="dxa"/>
            <w:vAlign w:val="bottom"/>
          </w:tcPr>
          <w:p>
            <w:pPr>
              <w:spacing w:after="0"/>
              <w:rPr>
                <w:sz w:val="20"/>
                <w:szCs w:val="20"/>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San Jose, California 95113</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and Zip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Zoom Video Communications, Inc.</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(Former Name or Former Address, if Changed Since Last Report)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101" w:lineRule="exact"/>
        <w:rPr>
          <w:sz w:val="24"/>
          <w:szCs w:val="24"/>
          <w:color w:val="auto"/>
        </w:rPr>
      </w:pPr>
    </w:p>
    <w:p>
      <w:pPr>
        <w:ind w:right="440"/>
        <w:spacing w:after="0" w:line="26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22" w:lineRule="exact"/>
        <w:rPr>
          <w:sz w:val="24"/>
          <w:szCs w:val="24"/>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42"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38"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Name of each exchange on which registered</w:t>
            </w:r>
          </w:p>
        </w:tc>
      </w:tr>
      <w:tr>
        <w:trPr>
          <w:trHeight w:val="200"/>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1"/>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The Nasdaq Global Select Market</w:t>
            </w:r>
          </w:p>
        </w:tc>
      </w:tr>
    </w:tbl>
    <w:p>
      <w:pPr>
        <w:spacing w:after="0" w:line="177" w:lineRule="exact"/>
        <w:rPr>
          <w:sz w:val="24"/>
          <w:szCs w:val="24"/>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55" w:lineRule="exact"/>
        <w:rPr>
          <w:sz w:val="24"/>
          <w:szCs w:val="24"/>
          <w:color w:val="auto"/>
        </w:rPr>
      </w:pPr>
    </w:p>
    <w:p>
      <w:pPr>
        <w:ind w:right="46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766445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2.02</w:t>
        <w:tab/>
        <w:t>Results of Operations and Financial Condition.</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On May 21, 2026, Zoom Communications, Inc. (the “Company”) issued a press release announcing its financial results for the three months ended April 30, 2026. A copy of the press release is furnished as Exhibit 99.1 to this report and is incorporated by reference.</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information contained in this report, including Exhibit 99.1 attached hereto, is furnished and shall not be deemed “filed” for purposes of Section 18</w:t>
      </w:r>
    </w:p>
    <w:p>
      <w:pPr>
        <w:spacing w:after="0" w:line="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17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9.01</w:t>
        <w:tab/>
        <w:t>Financial Statements And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  Exhibits</w:t>
            </w:r>
          </w:p>
        </w:tc>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460" w:type="dxa"/>
            <w:vAlign w:val="bottom"/>
          </w:tcPr>
          <w:p>
            <w:pPr>
              <w:spacing w:after="0"/>
              <w:rPr>
                <w:sz w:val="21"/>
                <w:szCs w:val="21"/>
                <w:color w:val="auto"/>
              </w:rPr>
            </w:pPr>
          </w:p>
        </w:tc>
        <w:tc>
          <w:tcPr>
            <w:tcW w:w="17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Exhibit No.</w:t>
            </w:r>
          </w:p>
        </w:tc>
        <w:tc>
          <w:tcPr>
            <w:tcW w:w="20" w:type="dxa"/>
            <w:vAlign w:val="bottom"/>
          </w:tcPr>
          <w:p>
            <w:pPr>
              <w:spacing w:after="0"/>
              <w:rPr>
                <w:sz w:val="21"/>
                <w:szCs w:val="21"/>
                <w:color w:val="auto"/>
              </w:rPr>
            </w:pPr>
          </w:p>
        </w:tc>
        <w:tc>
          <w:tcPr>
            <w:tcW w:w="9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174"/>
        </w:trPr>
        <w:tc>
          <w:tcPr>
            <w:tcW w:w="460" w:type="dxa"/>
            <w:vAlign w:val="bottom"/>
          </w:tcPr>
          <w:p>
            <w:pPr>
              <w:spacing w:after="0"/>
              <w:rPr>
                <w:sz w:val="15"/>
                <w:szCs w:val="15"/>
                <w:color w:val="auto"/>
              </w:rPr>
            </w:pPr>
          </w:p>
        </w:tc>
        <w:tc>
          <w:tcPr>
            <w:tcW w:w="1320" w:type="dxa"/>
            <w:vAlign w:val="bottom"/>
            <w:tcBorders>
              <w:top w:val="single" w:sz="8" w:color="auto"/>
            </w:tcBorders>
          </w:tcPr>
          <w:p>
            <w:pPr>
              <w:jc w:val="right"/>
              <w:ind w:right="414"/>
              <w:spacing w:after="0" w:line="174" w:lineRule="exact"/>
              <w:rPr>
                <w:sz w:val="20"/>
                <w:szCs w:val="20"/>
                <w:color w:val="auto"/>
              </w:rPr>
            </w:pPr>
            <w:r>
              <w:rPr>
                <w:rFonts w:ascii="Times New Roman" w:cs="Times New Roman" w:eastAsia="Times New Roman" w:hAnsi="Times New Roman"/>
                <w:sz w:val="17"/>
                <w:szCs w:val="17"/>
                <w:color w:val="auto"/>
              </w:rPr>
              <w:t>99.1</w:t>
            </w:r>
          </w:p>
        </w:tc>
        <w:tc>
          <w:tcPr>
            <w:tcW w:w="4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980" w:type="dxa"/>
            <w:vAlign w:val="bottom"/>
            <w:tcBorders>
              <w:top w:val="single" w:sz="8" w:color="auto"/>
            </w:tcBorders>
            <w:gridSpan w:val="2"/>
          </w:tcPr>
          <w:p>
            <w:pPr>
              <w:spacing w:after="0" w:line="174" w:lineRule="exact"/>
              <w:rPr>
                <w:sz w:val="20"/>
                <w:szCs w:val="20"/>
                <w:color w:val="auto"/>
              </w:rPr>
            </w:pPr>
            <w:r>
              <w:rPr>
                <w:rFonts w:ascii="Times New Roman" w:cs="Times New Roman" w:eastAsia="Times New Roman" w:hAnsi="Times New Roman"/>
                <w:sz w:val="17"/>
                <w:szCs w:val="17"/>
                <w:color w:val="0000FF"/>
              </w:rPr>
              <w:t>Press release dated May 21, 2026 of Zoom Communications, Inc.</w:t>
            </w:r>
          </w:p>
        </w:tc>
        <w:tc>
          <w:tcPr>
            <w:tcW w:w="20" w:type="dxa"/>
            <w:vAlign w:val="bottom"/>
          </w:tcPr>
          <w:p>
            <w:pPr>
              <w:spacing w:after="0"/>
              <w:rPr>
                <w:sz w:val="15"/>
                <w:szCs w:val="15"/>
                <w:color w:val="auto"/>
              </w:rPr>
            </w:pPr>
          </w:p>
        </w:tc>
      </w:tr>
      <w:tr>
        <w:trPr>
          <w:trHeight w:val="20"/>
        </w:trPr>
        <w:tc>
          <w:tcPr>
            <w:tcW w:w="17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r>
      <w:tr>
        <w:trPr>
          <w:trHeight w:val="239"/>
        </w:trPr>
        <w:tc>
          <w:tcPr>
            <w:tcW w:w="1780" w:type="dxa"/>
            <w:vAlign w:val="bottom"/>
            <w:gridSpan w:val="2"/>
          </w:tcPr>
          <w:p>
            <w:pPr>
              <w:jc w:val="right"/>
              <w:ind w:right="434"/>
              <w:spacing w:after="0"/>
              <w:rPr>
                <w:sz w:val="20"/>
                <w:szCs w:val="20"/>
                <w:color w:val="auto"/>
              </w:rPr>
            </w:pPr>
            <w:r>
              <w:rPr>
                <w:rFonts w:ascii="Times New Roman" w:cs="Times New Roman" w:eastAsia="Times New Roman" w:hAnsi="Times New Roman"/>
                <w:sz w:val="17"/>
                <w:szCs w:val="17"/>
                <w:color w:val="auto"/>
              </w:rPr>
              <w:t>104</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1155"/>
        </w:trPr>
        <w:tc>
          <w:tcPr>
            <w:tcW w:w="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ind w:right="820"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3360" w:type="dxa"/>
            <w:vAlign w:val="bottom"/>
          </w:tcPr>
          <w:p>
            <w:pPr>
              <w:spacing w:after="0"/>
              <w:rPr>
                <w:sz w:val="19"/>
                <w:szCs w:val="19"/>
                <w:color w:val="auto"/>
              </w:rPr>
            </w:pPr>
          </w:p>
        </w:tc>
        <w:tc>
          <w:tcPr>
            <w:tcW w:w="7340" w:type="dxa"/>
            <w:vAlign w:val="bottom"/>
            <w:gridSpan w:val="2"/>
          </w:tcPr>
          <w:p>
            <w:pPr>
              <w:ind w:left="1880"/>
              <w:spacing w:after="0"/>
              <w:rPr>
                <w:sz w:val="20"/>
                <w:szCs w:val="20"/>
                <w:color w:val="auto"/>
              </w:rPr>
            </w:pPr>
            <w:r>
              <w:rPr>
                <w:rFonts w:ascii="Times New Roman" w:cs="Times New Roman" w:eastAsia="Times New Roman" w:hAnsi="Times New Roman"/>
                <w:sz w:val="17"/>
                <w:szCs w:val="17"/>
                <w:b w:val="1"/>
                <w:bCs w:val="1"/>
                <w:color w:val="auto"/>
              </w:rPr>
              <w:t>Zoom Communications, Inc.</w:t>
            </w:r>
          </w:p>
        </w:tc>
      </w:tr>
      <w:tr>
        <w:trPr>
          <w:trHeight w:val="465"/>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Dated: May 21, 2026</w:t>
            </w:r>
          </w:p>
        </w:tc>
        <w:tc>
          <w:tcPr>
            <w:tcW w:w="2580" w:type="dxa"/>
            <w:vAlign w:val="bottom"/>
          </w:tcPr>
          <w:p>
            <w:pPr>
              <w:ind w:left="1880"/>
              <w:spacing w:after="0"/>
              <w:rPr>
                <w:sz w:val="20"/>
                <w:szCs w:val="20"/>
                <w:color w:val="auto"/>
              </w:rPr>
            </w:pPr>
            <w:r>
              <w:rPr>
                <w:rFonts w:ascii="Times New Roman" w:cs="Times New Roman" w:eastAsia="Times New Roman" w:hAnsi="Times New Roman"/>
                <w:sz w:val="17"/>
                <w:szCs w:val="17"/>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Michelle Chang</w:t>
            </w:r>
          </w:p>
        </w:tc>
      </w:tr>
      <w:tr>
        <w:trPr>
          <w:trHeight w:val="205"/>
        </w:trPr>
        <w:tc>
          <w:tcPr>
            <w:tcW w:w="33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Michelle Chang</w:t>
            </w:r>
          </w:p>
        </w:tc>
      </w:tr>
      <w:tr>
        <w:trPr>
          <w:trHeight w:val="227"/>
        </w:trPr>
        <w:tc>
          <w:tcPr>
            <w:tcW w:w="33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r>
    </w:tbl>
    <w:p>
      <w:pPr>
        <w:sectPr>
          <w:pgSz w:w="11900" w:h="16838" w:orient="portrait"/>
          <w:cols w:equalWidth="0" w:num="1">
            <w:col w:w="11340"/>
          </w:cols>
          <w:pgMar w:left="320" w:top="85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color w:val="auto"/>
        </w:rPr>
        <w:t>Exhibit 99.1</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Zoom Communications Reports Financial Results for the First Quarter of Fiscal Year 2027</w:t>
      </w:r>
    </w:p>
    <w:p>
      <w:pPr>
        <w:spacing w:after="0" w:line="113" w:lineRule="exact"/>
        <w:rPr>
          <w:sz w:val="20"/>
          <w:szCs w:val="20"/>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First quarter total revenue of $1,239.0 million, up 5.5% year over year as reported and 4.6% in constant currency</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First quarter Enterprise revenue of $755.7 million, up 7.2% year over year</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Trailing 12-month net dollar expansion rate for Enterprise customers increased to 99% from 98% as of the same quarter last fiscal year</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First quarter GAAP operating margin of 25.1%, up 450 bps year over year, and non-GAAP operating margin of 41.1%, up 130 bps year over year</w:t>
      </w:r>
    </w:p>
    <w:p>
      <w:pPr>
        <w:spacing w:after="0" w:line="114" w:lineRule="exact"/>
        <w:rPr>
          <w:rFonts w:ascii="Times New Roman" w:cs="Times New Roman" w:eastAsia="Times New Roman" w:hAnsi="Times New Roman"/>
          <w:sz w:val="17"/>
          <w:szCs w:val="17"/>
          <w:b w:val="1"/>
          <w:bCs w:val="1"/>
          <w:i w:val="1"/>
          <w:iCs w:val="1"/>
          <w:color w:val="auto"/>
        </w:rPr>
      </w:pPr>
    </w:p>
    <w:p>
      <w:pPr>
        <w:ind w:left="940" w:right="20" w:hanging="316"/>
        <w:spacing w:after="0" w:line="295" w:lineRule="auto"/>
        <w:tabs>
          <w:tab w:leader="none" w:pos="936"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Increased total common stock repurchase authorization by $1.0 billion, incremental to the $625.0 million remaining authorization as of April 30, 2026</w:t>
      </w:r>
    </w:p>
    <w:p>
      <w:pPr>
        <w:spacing w:after="0" w:line="142" w:lineRule="exact"/>
        <w:rPr>
          <w:sz w:val="20"/>
          <w:szCs w:val="20"/>
          <w:color w:val="auto"/>
        </w:rPr>
      </w:pPr>
    </w:p>
    <w:p>
      <w:pPr>
        <w:ind w:right="640"/>
        <w:spacing w:after="0" w:line="293" w:lineRule="auto"/>
        <w:rPr>
          <w:sz w:val="20"/>
          <w:szCs w:val="20"/>
          <w:color w:val="auto"/>
        </w:rPr>
      </w:pPr>
      <w:r>
        <w:rPr>
          <w:rFonts w:ascii="Times New Roman" w:cs="Times New Roman" w:eastAsia="Times New Roman" w:hAnsi="Times New Roman"/>
          <w:sz w:val="17"/>
          <w:szCs w:val="17"/>
          <w:b w:val="1"/>
          <w:bCs w:val="1"/>
          <w:color w:val="auto"/>
        </w:rPr>
        <w:t xml:space="preserve">San Jose, California – </w:t>
      </w:r>
      <w:r>
        <w:rPr>
          <w:rFonts w:ascii="Times New Roman" w:cs="Times New Roman" w:eastAsia="Times New Roman" w:hAnsi="Times New Roman"/>
          <w:sz w:val="17"/>
          <w:szCs w:val="17"/>
          <w:color w:val="auto"/>
        </w:rPr>
        <w:t>May 21, 2026 – Zoom Communications, Inc. (NASDAQ: ZM), today announced financial results for the first fiscal quarter ended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April 30, 2026.</w:t>
      </w:r>
    </w:p>
    <w:p>
      <w:pPr>
        <w:spacing w:after="0" w:line="4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“We saw continued momentum in the first quarter, with revenue up 5.5% year over year, exceeding the high end of our guidance,” said Eric S. Yuan, Zoom’s founder and CEO. “Customers are increasingly adopting Zoom as an AI-first system of action for modern work, with AI Companion paid users growing 184% year over year, and My Notes reaching 1.5 million licensed users within just four months of launch. We also saw strong progress across new AI monetization streams and Zoom Customer Experience, which continued to see accelerating high double-digit growth. With strong profitability, cash flow, and an increased share repurchase authorization, we remain focused on turning AI innovation into durable growth, measurable customer value, and long-term shareholder returns.”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First Quarter Fiscal Year 2027 Financial Highlights:</w:t>
      </w:r>
    </w:p>
    <w:p>
      <w:pPr>
        <w:spacing w:after="0" w:line="205" w:lineRule="exact"/>
        <w:rPr>
          <w:sz w:val="20"/>
          <w:szCs w:val="20"/>
          <w:color w:val="auto"/>
        </w:rPr>
      </w:pPr>
    </w:p>
    <w:p>
      <w:pPr>
        <w:ind w:left="940" w:right="40" w:hanging="316"/>
        <w:spacing w:after="0" w:line="273"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Revenue: </w:t>
      </w:r>
      <w:r>
        <w:rPr>
          <w:rFonts w:ascii="Times New Roman" w:cs="Times New Roman" w:eastAsia="Times New Roman" w:hAnsi="Times New Roman"/>
          <w:sz w:val="17"/>
          <w:szCs w:val="17"/>
          <w:color w:val="auto"/>
        </w:rPr>
        <w:t>Total revenue for the first quarter was $1,239.0 million, up 5.5% year over year. Adjusting for foreign currency impact, revenue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constant currency was $1,228.8 million, up 4.6% year over year. Enterprise revenue was $755.7 million, up 7.2% year over year, and Online revenue was $483.3 million, up 2.8% year over year.</w:t>
      </w:r>
    </w:p>
    <w:p>
      <w:pPr>
        <w:spacing w:after="0" w:line="56" w:lineRule="exact"/>
        <w:rPr>
          <w:rFonts w:ascii="Times New Roman" w:cs="Times New Roman" w:eastAsia="Times New Roman" w:hAnsi="Times New Roman"/>
          <w:sz w:val="17"/>
          <w:szCs w:val="17"/>
          <w:color w:val="auto"/>
        </w:rPr>
      </w:pPr>
    </w:p>
    <w:p>
      <w:pPr>
        <w:ind w:left="940" w:right="80" w:hanging="316"/>
        <w:spacing w:after="0" w:line="26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from Operations and Operating Margin: </w:t>
      </w:r>
      <w:r>
        <w:rPr>
          <w:rFonts w:ascii="Times New Roman" w:cs="Times New Roman" w:eastAsia="Times New Roman" w:hAnsi="Times New Roman"/>
          <w:sz w:val="17"/>
          <w:szCs w:val="17"/>
          <w:color w:val="auto"/>
        </w:rPr>
        <w:t>GAAP income from operations for the first quarter was $310.5 million, compared to GAAP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income from operations of $241.6 million in the first quarter of fiscal year 2026. Non-GAAP income from operations, which adjusts for stock-based compensation expense and related payroll taxes and acquisition-related expenses, was $508.7 million for the first quarter, compared to non-GAAP income from operations of $467.3 million in the first quarter of fiscal year 2026. For the first quarter, GAAP operating margin was 25.1% and non-GAAP operating margin was 41.1%.</w:t>
      </w:r>
    </w:p>
    <w:p>
      <w:pPr>
        <w:spacing w:after="0" w:line="169" w:lineRule="exact"/>
        <w:rPr>
          <w:rFonts w:ascii="Times New Roman" w:cs="Times New Roman" w:eastAsia="Times New Roman" w:hAnsi="Times New Roman"/>
          <w:sz w:val="17"/>
          <w:szCs w:val="17"/>
          <w:b w:val="1"/>
          <w:bCs w:val="1"/>
          <w:color w:val="auto"/>
        </w:rPr>
      </w:pPr>
    </w:p>
    <w:p>
      <w:pPr>
        <w:ind w:left="940" w:right="20" w:hanging="316"/>
        <w:spacing w:after="0" w:line="260"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Net Income and Diluted Net Income Per Share: </w:t>
      </w:r>
      <w:r>
        <w:rPr>
          <w:rFonts w:ascii="Times New Roman" w:cs="Times New Roman" w:eastAsia="Times New Roman" w:hAnsi="Times New Roman"/>
          <w:sz w:val="17"/>
          <w:szCs w:val="17"/>
          <w:color w:val="auto"/>
        </w:rPr>
        <w:t>GAAP net income for the first quarter was $425.7 million, or $1.42 per share, compared to GAAP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net income of $254.6 million, or $0.81 per share, in the first quarter of fiscal year 2026. Non-GAAP net income for the first quarter, which adjusts for stock-based compensation expense and related payroll taxes, gains on strategic investments, net, acquisition-related expenses, and the tax effects on non-GAAP adjustments, was $465.0 million, or $1.55 per share. In the first quarter of fiscal year 2026, non-GAAP net income was</w:t>
      </w:r>
    </w:p>
    <w:p>
      <w:pPr>
        <w:ind w:left="9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$448.3 million, or $1.43 per share.</w:t>
      </w:r>
    </w:p>
    <w:p>
      <w:pPr>
        <w:spacing w:after="0" w:line="197" w:lineRule="exact"/>
        <w:rPr>
          <w:rFonts w:ascii="Times New Roman" w:cs="Times New Roman" w:eastAsia="Times New Roman" w:hAnsi="Times New Roman"/>
          <w:sz w:val="17"/>
          <w:szCs w:val="17"/>
          <w:b w:val="1"/>
          <w:bCs w:val="1"/>
          <w:color w:val="auto"/>
        </w:rPr>
      </w:pPr>
    </w:p>
    <w:p>
      <w:pPr>
        <w:ind w:left="940" w:right="180" w:hanging="316"/>
        <w:spacing w:after="0" w:line="29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Cash and Marketable Securities: </w:t>
      </w:r>
      <w:r>
        <w:rPr>
          <w:rFonts w:ascii="Times New Roman" w:cs="Times New Roman" w:eastAsia="Times New Roman" w:hAnsi="Times New Roman"/>
          <w:sz w:val="17"/>
          <w:szCs w:val="17"/>
          <w:color w:val="auto"/>
        </w:rPr>
        <w:t>Total cash, cash equivalents, and marketable securities, excluding restricted cash, as of April 30, 2026 was $7.7</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billion.</w:t>
      </w:r>
    </w:p>
    <w:p>
      <w:pPr>
        <w:spacing w:after="0" w:line="39" w:lineRule="exact"/>
        <w:rPr>
          <w:rFonts w:ascii="Times New Roman" w:cs="Times New Roman" w:eastAsia="Times New Roman" w:hAnsi="Times New Roman"/>
          <w:sz w:val="17"/>
          <w:szCs w:val="17"/>
          <w:b w:val="1"/>
          <w:bCs w:val="1"/>
          <w:color w:val="auto"/>
        </w:rPr>
      </w:pPr>
    </w:p>
    <w:p>
      <w:pPr>
        <w:ind w:left="940" w:right="20" w:hanging="316"/>
        <w:spacing w:after="0" w:line="273"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Cash Flow: </w:t>
      </w:r>
      <w:r>
        <w:rPr>
          <w:rFonts w:ascii="Times New Roman" w:cs="Times New Roman" w:eastAsia="Times New Roman" w:hAnsi="Times New Roman"/>
          <w:sz w:val="17"/>
          <w:szCs w:val="17"/>
          <w:color w:val="auto"/>
        </w:rPr>
        <w:t>Net cash provided by operating activities was $521.6 million for the first quarter, compared to $489.3 million in the first quarter of fiscal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year 2026. Free cash flow, which is net cash provided by operating activities less purchases of property and equipment, was $500.5 million, compared to $463.4 million in the first quarter of fiscal year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Customer Metrics: </w:t>
      </w:r>
      <w:r>
        <w:rPr>
          <w:rFonts w:ascii="Times New Roman" w:cs="Times New Roman" w:eastAsia="Times New Roman" w:hAnsi="Times New Roman"/>
          <w:sz w:val="17"/>
          <w:szCs w:val="17"/>
          <w:color w:val="auto"/>
        </w:rPr>
        <w:t>Drivers of total revenue included acquiring new customers. At the end of the first quarter of fiscal year 2027, Zoom had:</w:t>
      </w:r>
    </w:p>
    <w:p>
      <w:pPr>
        <w:spacing w:after="0" w:line="132" w:lineRule="exact"/>
        <w:rPr>
          <w:sz w:val="20"/>
          <w:szCs w:val="20"/>
          <w:color w:val="auto"/>
        </w:rPr>
      </w:pPr>
    </w:p>
    <w:p>
      <w:pPr>
        <w:ind w:left="920" w:hanging="296"/>
        <w:spacing w:after="0"/>
        <w:tabs>
          <w:tab w:leader="none" w:pos="920" w:val="left"/>
        </w:tabs>
        <w:numPr>
          <w:ilvl w:val="0"/>
          <w:numId w:val="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7"/>
          <w:szCs w:val="17"/>
          <w:color w:val="auto"/>
        </w:rPr>
        <w:t>4,534 customers contributing more than $100,000 in trailing 12 months revenue, up 8.2% from the same quarter last fiscal year.</w:t>
      </w:r>
    </w:p>
    <w:p>
      <w:pPr>
        <w:sectPr>
          <w:pgSz w:w="11900" w:h="16838" w:orient="portrait"/>
          <w:cols w:equalWidth="0" w:num="1">
            <w:col w:w="11240"/>
          </w:cols>
          <w:pgMar w:left="320" w:top="1092" w:right="339" w:bottom="1440" w:gutter="0" w:footer="0" w:header="0"/>
        </w:sectPr>
      </w:pPr>
    </w:p>
    <w:bookmarkStart w:id="4" w:name="page5"/>
    <w:bookmarkEnd w:id="4"/>
    <w:p>
      <w:pPr>
        <w:ind w:left="920" w:hanging="296"/>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trailing 12-month net dollar expansion rate for Enterprise customers increased to 99% from 98% as of the same quarter last fiscal year.</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Online average monthly churn of 3.0% for the first quarter, compared to 2.8% in the same quarter last fiscal year.</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percentage of total Online MRR from Online customers with a continual term of service of at least 16 months of 74.4%, up 20 bps year over year.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Outlook: </w:t>
      </w:r>
      <w:r>
        <w:rPr>
          <w:rFonts w:ascii="Times New Roman" w:cs="Times New Roman" w:eastAsia="Times New Roman" w:hAnsi="Times New Roman"/>
          <w:sz w:val="17"/>
          <w:szCs w:val="17"/>
          <w:color w:val="auto"/>
        </w:rPr>
        <w:t>Zoom is providing the following guidance for its second quarter of fiscal year 2027 and updating its guidance for full fiscal year 2027.</w:t>
      </w:r>
    </w:p>
    <w:p>
      <w:pPr>
        <w:spacing w:after="0" w:line="119" w:lineRule="exact"/>
        <w:rPr>
          <w:sz w:val="20"/>
          <w:szCs w:val="20"/>
          <w:color w:val="auto"/>
        </w:rPr>
      </w:pPr>
    </w:p>
    <w:p>
      <w:pPr>
        <w:ind w:left="940" w:hanging="316"/>
        <w:spacing w:after="0" w:line="270" w:lineRule="auto"/>
        <w:tabs>
          <w:tab w:leader="none" w:pos="936"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Second Quarter Fiscal Year 2027: Total revenue is expected to be between $1.265 billion and $1.270 billion and revenue in constant currency is expected to be between $1.262 billion and $1.267 billion. Non-GAAP income from operations is expected to be between $508.0 million and $513.0 million. Non-GAAP diluted EPS is expected to be between $1.45 and $1.47 with approximately 304 million weighted average shares outstanding.</w:t>
      </w:r>
    </w:p>
    <w:p>
      <w:pPr>
        <w:spacing w:after="0" w:line="63" w:lineRule="exact"/>
        <w:rPr>
          <w:rFonts w:ascii="Times New Roman" w:cs="Times New Roman" w:eastAsia="Times New Roman" w:hAnsi="Times New Roman"/>
          <w:sz w:val="17"/>
          <w:szCs w:val="17"/>
          <w:b w:val="1"/>
          <w:bCs w:val="1"/>
          <w:color w:val="auto"/>
        </w:rPr>
      </w:pPr>
    </w:p>
    <w:p>
      <w:pPr>
        <w:ind w:left="940" w:hanging="316"/>
        <w:spacing w:after="0" w:line="265" w:lineRule="auto"/>
        <w:tabs>
          <w:tab w:leader="none" w:pos="936"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Full Fiscal Year 2027: Total revenue is expected to be between $5.080 billion and $5.090 billion and revenue in constant currency is expected to be between $5.062 billion and $5.072 billion. Non-GAAP income from operations is expected to be between $2.065 billion and $2.075 billion. Non-GAAP diluted EPS is expected to be between $5.96 and $6.00 with approximately 304 million weighted average shares outstanding. Full fiscal year free cash flow is expected to be between $1.700 billion and $1.740 billion.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EPS and share count figures do not include the impact from the share repurchase authorization discussed below.</w:t>
      </w:r>
    </w:p>
    <w:p>
      <w:pPr>
        <w:spacing w:after="0" w:line="218"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Zoom's results computed in accordance with GAAP.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supplemental financial presentation and other information can be accessed through Zoom’s investor relations website at investors.zoom.us.</w:t>
      </w:r>
    </w:p>
    <w:p>
      <w:pPr>
        <w:spacing w:after="0" w:line="214"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b w:val="1"/>
          <w:bCs w:val="1"/>
          <w:color w:val="auto"/>
        </w:rPr>
        <w:t xml:space="preserve">Stock Repurchase Authorization: </w:t>
      </w:r>
      <w:r>
        <w:rPr>
          <w:rFonts w:ascii="Times New Roman" w:cs="Times New Roman" w:eastAsia="Times New Roman" w:hAnsi="Times New Roman"/>
          <w:sz w:val="17"/>
          <w:szCs w:val="17"/>
          <w:color w:val="auto"/>
        </w:rPr>
        <w:t>In May 2026, Zoom’s Board of Directors authorized the repurchase of an additional $1.0 billion of Zoom’s outstanding Class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common stock, incremental to the $625.0 million remaining authorization as of April 30, 2026.</w:t>
      </w:r>
    </w:p>
    <w:p>
      <w:pPr>
        <w:spacing w:after="0" w:line="173" w:lineRule="exact"/>
        <w:rPr>
          <w:sz w:val="20"/>
          <w:szCs w:val="20"/>
          <w:color w:val="auto"/>
        </w:rPr>
      </w:pPr>
    </w:p>
    <w:p>
      <w:pPr>
        <w:ind w:right="460"/>
        <w:spacing w:after="0" w:line="288" w:lineRule="auto"/>
        <w:rPr>
          <w:sz w:val="20"/>
          <w:szCs w:val="20"/>
          <w:color w:val="auto"/>
        </w:rPr>
      </w:pPr>
      <w:r>
        <w:rPr>
          <w:rFonts w:ascii="Times New Roman" w:cs="Times New Roman" w:eastAsia="Times New Roman" w:hAnsi="Times New Roman"/>
          <w:sz w:val="17"/>
          <w:szCs w:val="17"/>
          <w:color w:val="auto"/>
        </w:rPr>
        <w:t>Repurchases of Zoom’s Class A common stock may be effected, from time to time, either on the open market (including pre-set trading plans), in privately negotiated transactions, and other transactions in accordance with applicable securities laws.</w:t>
      </w:r>
    </w:p>
    <w:p>
      <w:pPr>
        <w:spacing w:after="0" w:line="177"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The timing and the amount of any repurchased Class A common stock will be determined by Zoom's management based on its evaluation of market conditions and other factors. The repurchase program will be funded using Zoom's working capital. Any repurchased shares of Class A common stock will be retired. The repurchase program does not obligate Zoom to acquire any particular amount of Class A common stock, and the repurchase program may be suspended or discontinued at any time at Zoom’s discretion.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Zoom Video Earnings Call</w:t>
      </w:r>
    </w:p>
    <w:p>
      <w:pPr>
        <w:spacing w:after="0" w:line="106"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17"/>
          <w:szCs w:val="17"/>
          <w:color w:val="auto"/>
        </w:rPr>
        <w:t>Zoom will host a Zoom Video Webinar for investors on May 21, 2026 at 2:00 p.m. Pacific Time / 5:00 p.m. Eastern Time to discuss the company’s financial results, business highlights and financial outlook. Investors are invited to join the Zoom Video Webinar by visiting: https://investors.zoom.com/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Zoom</w:t>
      </w:r>
    </w:p>
    <w:p>
      <w:pPr>
        <w:spacing w:after="0" w:line="119"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Zoom (NASDAQ:ZM) is a system of action for modern work, turning live collaboration into completed results. From entrepreneurs to global enterprises, customers choose Zoom to seamlessly collaborate, communicate, and drive outcomes across meetings, phone, contact center, and more — all with the built-in assistance of Zoom AI Companion. Founded in 2011, Zoom is headquartered in San Jose, CA. For more information, visit zoom.com.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19" w:lineRule="exact"/>
        <w:rPr>
          <w:sz w:val="20"/>
          <w:szCs w:val="20"/>
          <w:color w:val="auto"/>
        </w:rPr>
      </w:pPr>
    </w:p>
    <w:p>
      <w:pPr>
        <w:ind w:right="520"/>
        <w:spacing w:after="0" w:line="288" w:lineRule="auto"/>
        <w:rPr>
          <w:sz w:val="20"/>
          <w:szCs w:val="20"/>
          <w:color w:val="auto"/>
        </w:rPr>
      </w:pPr>
      <w:r>
        <w:rPr>
          <w:rFonts w:ascii="Times New Roman" w:cs="Times New Roman" w:eastAsia="Times New Roman" w:hAnsi="Times New Roman"/>
          <w:sz w:val="17"/>
          <w:szCs w:val="17"/>
          <w:color w:val="auto"/>
        </w:rPr>
        <w:t>This press release contains express and implied “forward-looking statements” within the meaning of the Private Securities Litigation Reform Act of 1995, including statements regarding Zoom's financial outlook for the second quarter of fiscal year</w:t>
      </w:r>
    </w:p>
    <w:p>
      <w:pPr>
        <w:sectPr>
          <w:pgSz w:w="11900" w:h="16838" w:orient="portrait"/>
          <w:cols w:equalWidth="0" w:num="1">
            <w:col w:w="11140"/>
          </w:cols>
          <w:pgMar w:left="320" w:top="963" w:right="439" w:bottom="1440" w:gutter="0" w:footer="0" w:header="0"/>
        </w:sectPr>
      </w:pPr>
    </w:p>
    <w:bookmarkStart w:id="5" w:name="page6"/>
    <w:bookmarkEnd w:id="5"/>
    <w:p>
      <w:pPr>
        <w:ind w:right="20"/>
        <w:spacing w:after="0" w:line="255" w:lineRule="auto"/>
        <w:rPr>
          <w:sz w:val="20"/>
          <w:szCs w:val="20"/>
          <w:color w:val="auto"/>
        </w:rPr>
      </w:pPr>
      <w:r>
        <w:rPr>
          <w:rFonts w:ascii="Times New Roman" w:cs="Times New Roman" w:eastAsia="Times New Roman" w:hAnsi="Times New Roman"/>
          <w:sz w:val="17"/>
          <w:szCs w:val="17"/>
          <w:color w:val="auto"/>
        </w:rPr>
        <w:t>2027 and full fiscal year 2027, Zoom’s market position, opportunities, and growth strategy, product initiatives, including future product and feature releases, and go-to-market motions and the expected benefits resulting from the same, market trends, and Zoom's stock repurchase program.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renewals or upgrades, or decline in demand for our platform, difficulties in evaluating our prospects and future results of operations given our continuing growth in scale, complexity and scope, the pace of development, adoption, or performance of our AI capabilities, competition from other providers of communications platforms, the effect of macroeconomic conditions on our business, including geopolitical tensions, tariffs and escalating trade tensions, interest rate fluctuations, inflationary pressures and market and foreign currency exchange rate volatility, lengthened sales cycles with large organizations, delays or outages in services from our co-located data centers, failures in internet infrastructure or interference with broadband access, compromised security measures, including ours and those of the third parties upon which we rely, and global security concerns and their potential impact on regional and global economies and supply chains.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annual report on Form 10-K for the fiscal year ended January 31, 2026.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pacing w:after="0" w:line="6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6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Non-GAAP Income from Operations and Non-GAAP Operating Margin. Zoom defines non-GAAP income from operations as income from operations excluding stock-based compensation expense and related payroll taxes and acquisition-related expenses. Zoom excludes stock-based compensation expense because it is non-cash in nature and excluding this expense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in order for investors to see the full effect that excluding stock-based compensation expense had on Zoom's operating results. In particular, this expense is dependent on the price of our common stock and other factors that are beyond our control and do not correlate to the operation of the business. Zoom views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In fact, Zoom believes the consideration of measures that exclude such expenses can assist in the comparison of operational performance in different periods that may or may not include such expenses and assist in the comparison with the results of other companies in the industry. Zoom defines non-GAAP operating margin as non-GAAP income from operations divided by GAAP revenue.</w:t>
      </w:r>
    </w:p>
    <w:p>
      <w:pPr>
        <w:spacing w:after="0" w:line="7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Non-GAAP Net Income and Non-GAAP Net Income Per Share, Basic and Diluted. Zoom defines non-GAAP net income as GAAP net income adjusted to exclude stock-based compensation expense and related payroll taxes, acquisition-related expenses, gains/losses on strategic investments, net, and the tax effects of all non-GAAP adjustments. Zoom excludes these items because they are considered by management to be outside of Zoom’s core operating results. These adjustments are intended to provide investors and management with greater visibility to the underlying performance of Zoom’s business operations, facilitate comparison of its results with other periods, and may also facilitate comparison with the results of other companies in the industry. Zoom defines non-GAAP net income per share, basic and diluted, as non-GAAP net income divided by the number of shares outstanding, basic and diluted, calculated in accordance with GAAP.</w:t>
      </w:r>
    </w:p>
    <w:p>
      <w:pPr>
        <w:sectPr>
          <w:pgSz w:w="11900" w:h="16838" w:orient="portrait"/>
          <w:cols w:equalWidth="0" w:num="1">
            <w:col w:w="11240"/>
          </w:cols>
          <w:pgMar w:left="320" w:top="963" w:right="339" w:bottom="1440" w:gutter="0" w:footer="0" w:header="0"/>
        </w:sectPr>
      </w:pPr>
    </w:p>
    <w:bookmarkStart w:id="6" w:name="page7"/>
    <w:bookmarkEnd w:id="6"/>
    <w:p>
      <w:pPr>
        <w:ind w:right="60"/>
        <w:spacing w:after="0" w:line="265" w:lineRule="auto"/>
        <w:rPr>
          <w:sz w:val="20"/>
          <w:szCs w:val="20"/>
          <w:color w:val="auto"/>
        </w:rPr>
      </w:pPr>
      <w:r>
        <w:rPr>
          <w:rFonts w:ascii="Times New Roman" w:cs="Times New Roman" w:eastAsia="Times New Roman" w:hAnsi="Times New Roman"/>
          <w:sz w:val="17"/>
          <w:szCs w:val="17"/>
          <w:color w:val="auto"/>
        </w:rPr>
        <w:t>Free Cash Flow and Free Cash Flow Margin. Zoom defines free cash flow as GAAP net cash provided by operating activities less purchases of property and equipment. Zoom considers free cash flow to be a liquidity measure that provides useful information to management and investors regarding net cash provided by operating activities and cash used for investments in property and equipment required to maintain and grow the business. Zoom defines free cash flow margin as free cash flow divided by GAAP revenue.</w:t>
      </w:r>
    </w:p>
    <w:p>
      <w:pPr>
        <w:spacing w:after="0" w:line="6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Revenue in Constant Currency. Zoom defines revenue in constant currency as GAAP revenue adjusted for revenue reported in currencies other than United States dollars as if they were converted into United States dollars using the average exchange rates from the comparative period rather than the actual exchange rates in effect during the respective periods. Zoom provides revenue in constant currency information as a framework for assessing how Zoom's underlying businesses performed period to period, excluding the effects of foreign currency fluctuations.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Metrics</w:t>
      </w:r>
    </w:p>
    <w:p>
      <w:pPr>
        <w:spacing w:after="0" w:line="119"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7"/>
          <w:szCs w:val="17"/>
          <w:color w:val="auto"/>
        </w:rPr>
        <w:t>Zoom defines a customer as a separate and distinct buying entity, which can be a single paid user or an organization of any size (including a distinct unit of an organization) that has multiple users. Zoom defines Enterprise customers as distinct business units that have been engaged by either our direct sales team, resellers, or strategic partners. All other customers that subscribe to our services directly through our website are referred to as Online customers.</w:t>
      </w:r>
    </w:p>
    <w:p>
      <w:pPr>
        <w:spacing w:after="0" w:line="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Zoom calculates net dollar expansion rate as of a period end by starting with the annual recurring revenue (“ARR”) from Enterprise customers as of 12 months prior (“Prior Period ARR”). Zoom defines ARR as the annualized revenue run rate of subscription agreements from all customers at a point in time. Zoom calculates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Zoom then calculates the ARR from these Enterprise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w:t>
      </w:r>
    </w:p>
    <w:p>
      <w:pPr>
        <w:spacing w:after="0" w:line="7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Zoom calculates online average monthly churn by starting with the Online customer MRR as of the beginning of the applicable quarter (“Entry MRR”). Zoom defines Entry MRR as the recurring revenue run-rate of subscription agreements from all Online customers except for subscriptions that Zoom recorded as churn in a previous quarter based on the customers' earlier indication to us of their intention to cancel that subscription. Zoom then determines the MRR related to customers who canceled or downgraded their subscription or notified us of that intention during the applicable quarter (“Applicable Quarter MRR Churn”) and divides the Applicable Quarter MRR Churn by the applicable quarter Entry MRR to arrive at the MRR churn rate for Online Customers for the applicable quarter. Zoom then divides that amount by three to calculate the online average monthly churn.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Public Relations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Karen Modlin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of Corporate Communications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press@zoom.us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Charles Eveslage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of Investor Relations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investors@zoom.us</w:t>
      </w:r>
    </w:p>
    <w:p>
      <w:pPr>
        <w:sectPr>
          <w:pgSz w:w="11900" w:h="16838" w:orient="portrait"/>
          <w:cols w:equalWidth="0" w:num="1">
            <w:col w:w="11240"/>
          </w:cols>
          <w:pgMar w:left="320" w:top="96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0" w:type="dxa"/>
            <w:vAlign w:val="bottom"/>
          </w:tcPr>
          <w:p>
            <w:pPr>
              <w:spacing w:after="0"/>
              <w:rPr>
                <w:sz w:val="15"/>
                <w:szCs w:val="15"/>
                <w:color w:val="auto"/>
              </w:rPr>
            </w:pPr>
          </w:p>
        </w:tc>
      </w:tr>
      <w:tr>
        <w:trPr>
          <w:trHeight w:val="23"/>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24"/>
        </w:trPr>
        <w:tc>
          <w:tcPr>
            <w:tcW w:w="8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220" w:type="dxa"/>
            <w:vAlign w:val="bottom"/>
          </w:tcPr>
          <w:p>
            <w:pPr>
              <w:spacing w:after="0"/>
              <w:rPr>
                <w:sz w:val="10"/>
                <w:szCs w:val="10"/>
                <w:color w:val="auto"/>
              </w:rPr>
            </w:pPr>
          </w:p>
        </w:tc>
        <w:tc>
          <w:tcPr>
            <w:tcW w:w="1200" w:type="dxa"/>
            <w:vAlign w:val="bottom"/>
          </w:tcPr>
          <w:p>
            <w:pPr>
              <w:jc w:val="right"/>
              <w:ind w:right="275"/>
              <w:spacing w:after="0" w:line="124" w:lineRule="exact"/>
              <w:rPr>
                <w:sz w:val="20"/>
                <w:szCs w:val="20"/>
                <w:color w:val="auto"/>
              </w:rPr>
            </w:pPr>
            <w:r>
              <w:rPr>
                <w:rFonts w:ascii="Times New Roman" w:cs="Times New Roman" w:eastAsia="Times New Roman" w:hAnsi="Times New Roman"/>
                <w:sz w:val="14"/>
                <w:szCs w:val="14"/>
                <w:b w:val="1"/>
                <w:bCs w:val="1"/>
                <w:color w:val="auto"/>
              </w:rPr>
              <w:t>January 31,</w:t>
            </w:r>
          </w:p>
        </w:tc>
      </w:tr>
      <w:tr>
        <w:trPr>
          <w:trHeight w:val="188"/>
        </w:trPr>
        <w:tc>
          <w:tcPr>
            <w:tcW w:w="8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2"/>
              </w:rPr>
              <w:t>2026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1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w w:val="99"/>
              </w:rPr>
              <w:t>(unaudited)</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890,938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1,272,877</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Marketable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6,830,037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6,544,031</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467,815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497,339</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contract acquisition costs, 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125,118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108,856</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261,096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234,856</w:t>
            </w:r>
          </w:p>
        </w:tc>
      </w:tr>
      <w:tr>
        <w:trPr>
          <w:trHeight w:val="213"/>
        </w:trPr>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8,575,004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8,657,959</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contract acquisition costs,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234,497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215,533</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252,807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264,525</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52,423</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Strategic investments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1,876,419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1,578,611</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400,392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400,392</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628,432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646,640</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138,956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144,333</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12,162,017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11,960,416</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5"/>
        </w:trPr>
        <w:tc>
          <w:tcPr>
            <w:tcW w:w="82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6,268</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533,193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581,773</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 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1,479,635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1,411,149</w:t>
            </w:r>
          </w:p>
        </w:tc>
      </w:tr>
      <w:tr>
        <w:trPr>
          <w:trHeight w:val="213"/>
        </w:trPr>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2,031,525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1,999,190</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13,195</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30,710</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113,607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109,063</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2,190,869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2,152,158</w:t>
            </w:r>
          </w:p>
        </w:tc>
      </w:tr>
      <w:tr>
        <w:trPr>
          <w:trHeight w:val="238"/>
        </w:trPr>
        <w:tc>
          <w:tcPr>
            <w:tcW w:w="8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3,853,641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4,099,753</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8,544</w:t>
            </w:r>
          </w:p>
        </w:tc>
      </w:tr>
      <w:tr>
        <w:trPr>
          <w:trHeight w:val="220"/>
        </w:trPr>
        <w:tc>
          <w:tcPr>
            <w:tcW w:w="8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6,125,343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5,699,666</w:t>
            </w:r>
          </w:p>
        </w:tc>
      </w:tr>
      <w:tr>
        <w:trPr>
          <w:trHeight w:val="21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9,971,148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9,808,258</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12,162,017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11,960,416</w:t>
            </w: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Note: The amount of unbilled accounts receivable included within accounts receivable, net on the condensed consolidated balance sheets was $87.8 million and $84.9 million as of April 30, 2026 and January 31, 2026, respectively.</w:t>
      </w:r>
    </w:p>
    <w:p>
      <w:pPr>
        <w:sectPr>
          <w:pgSz w:w="11900" w:h="16838" w:orient="portrait"/>
          <w:cols w:equalWidth="0" w:num="1">
            <w:col w:w="11240"/>
          </w:cols>
          <w:pgMar w:left="320" w:top="85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thousands, except share and per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82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1,239,006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1,174,715</w:t>
            </w:r>
          </w:p>
        </w:tc>
      </w:tr>
      <w:tr>
        <w:trPr>
          <w:trHeight w:val="22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274,287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278,402</w:t>
            </w:r>
          </w:p>
        </w:tc>
      </w:tr>
      <w:tr>
        <w:trPr>
          <w:trHeight w:val="21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964,719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896,313</w:t>
            </w:r>
          </w:p>
        </w:tc>
      </w:tr>
      <w:tr>
        <w:trPr>
          <w:trHeight w:val="20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227,926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205,416</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330,050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346,970</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96,270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102,335</w:t>
            </w:r>
          </w:p>
        </w:tc>
      </w:tr>
      <w:tr>
        <w:trPr>
          <w:trHeight w:val="213"/>
        </w:trPr>
        <w:tc>
          <w:tcPr>
            <w:tcW w:w="82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654,246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654,721</w:t>
            </w:r>
          </w:p>
        </w:tc>
      </w:tr>
      <w:tr>
        <w:trPr>
          <w:trHeight w:val="21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310,473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241,592</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 (losses) on strategic investments, net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152,297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(13,619)</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68,850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87,792</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531,620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315,765</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105,943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61,162</w:t>
            </w:r>
          </w:p>
        </w:tc>
      </w:tr>
      <w:tr>
        <w:trPr>
          <w:trHeight w:val="187"/>
        </w:trPr>
        <w:tc>
          <w:tcPr>
            <w:tcW w:w="8280" w:type="dxa"/>
            <w:vAlign w:val="bottom"/>
          </w:tcPr>
          <w:p>
            <w:pPr>
              <w:ind w:left="20"/>
              <w:spacing w:after="0" w:line="187" w:lineRule="exact"/>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425,677</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254,603</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8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share:</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28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Diluted</w:t>
            </w: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1.42</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0.81</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5"/>
        </w:trPr>
        <w:tc>
          <w:tcPr>
            <w:tcW w:w="82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Weighted-average shares used in computing net income per share:</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294,434,952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304,908,652</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6"/>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300,233,667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312,783,861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5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gridSpan w:val="4"/>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8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4"/>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425,677</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254,603</w:t>
            </w: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4"/>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201,569</w:t>
            </w:r>
          </w:p>
        </w:tc>
      </w:tr>
      <w:tr>
        <w:trPr>
          <w:trHeight w:val="21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contract acquisition costs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69,557</w:t>
            </w:r>
          </w:p>
        </w:tc>
      </w:tr>
      <w:tr>
        <w:trPr>
          <w:trHeight w:val="204"/>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32,781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35,316</w:t>
            </w:r>
          </w:p>
        </w:tc>
      </w:tr>
      <w:tr>
        <w:trPr>
          <w:trHeight w:val="21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(24,690)</w:t>
            </w:r>
          </w:p>
        </w:tc>
      </w:tr>
      <w:tr>
        <w:trPr>
          <w:trHeight w:val="204"/>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(Gains) losses on strategic investments, net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13,619</w:t>
            </w:r>
          </w:p>
        </w:tc>
      </w:tr>
      <w:tr>
        <w:trPr>
          <w:trHeight w:val="21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accounts receivable allowances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5,855</w:t>
            </w:r>
          </w:p>
        </w:tc>
      </w:tr>
      <w:tr>
        <w:trPr>
          <w:trHeight w:val="204"/>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Unrealized foreign exchange losses (gains)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(7,626)</w:t>
            </w:r>
          </w:p>
        </w:tc>
      </w:tr>
      <w:tr>
        <w:trPr>
          <w:trHeight w:val="21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operating lease cost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6,108</w:t>
            </w:r>
          </w:p>
        </w:tc>
      </w:tr>
      <w:tr>
        <w:trPr>
          <w:trHeight w:val="204"/>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discount/premium on marketable securities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(12,845)</w:t>
            </w:r>
          </w:p>
        </w:tc>
      </w:tr>
      <w:tr>
        <w:trPr>
          <w:trHeight w:val="21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4,142</w:t>
            </w:r>
          </w:p>
        </w:tc>
      </w:tr>
      <w:tr>
        <w:trPr>
          <w:trHeight w:val="204"/>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8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12,485</w:t>
            </w:r>
          </w:p>
        </w:tc>
      </w:tr>
      <w:tr>
        <w:trPr>
          <w:trHeight w:val="204"/>
        </w:trPr>
        <w:tc>
          <w:tcPr>
            <w:tcW w:w="82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(12,293)</w:t>
            </w:r>
          </w:p>
        </w:tc>
      </w:tr>
      <w:tr>
        <w:trPr>
          <w:trHeight w:val="210"/>
        </w:trPr>
        <w:tc>
          <w:tcPr>
            <w:tcW w:w="8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Deferred contract acquisition costs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(48,148)</w:t>
            </w:r>
          </w:p>
        </w:tc>
      </w:tr>
      <w:tr>
        <w:trPr>
          <w:trHeight w:val="204"/>
        </w:trPr>
        <w:tc>
          <w:tcPr>
            <w:tcW w:w="82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7,252</w:t>
            </w:r>
          </w:p>
        </w:tc>
      </w:tr>
      <w:tr>
        <w:trPr>
          <w:trHeight w:val="210"/>
        </w:trPr>
        <w:tc>
          <w:tcPr>
            <w:tcW w:w="8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(80,383)</w:t>
            </w:r>
          </w:p>
        </w:tc>
      </w:tr>
      <w:tr>
        <w:trPr>
          <w:trHeight w:val="204"/>
        </w:trPr>
        <w:tc>
          <w:tcPr>
            <w:tcW w:w="82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72,141</w:t>
            </w:r>
          </w:p>
        </w:tc>
      </w:tr>
      <w:tr>
        <w:trPr>
          <w:trHeight w:val="210"/>
        </w:trPr>
        <w:tc>
          <w:tcPr>
            <w:tcW w:w="8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Operating lease liabilities, net</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(7,401)</w:t>
            </w:r>
          </w:p>
        </w:tc>
      </w:tr>
      <w:tr>
        <w:trPr>
          <w:trHeight w:val="197"/>
        </w:trPr>
        <w:tc>
          <w:tcPr>
            <w:tcW w:w="82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521,610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489,261</w:t>
            </w: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4"/>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(1,172,217)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(1,135,024)</w:t>
            </w:r>
          </w:p>
        </w:tc>
      </w:tr>
      <w:tr>
        <w:trPr>
          <w:trHeight w:val="21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858,125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1,033,279</w:t>
            </w:r>
          </w:p>
        </w:tc>
      </w:tr>
      <w:tr>
        <w:trPr>
          <w:trHeight w:val="204"/>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 of marketable securities</w:t>
            </w: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w:t>
            </w:r>
          </w:p>
        </w:tc>
      </w:tr>
      <w:tr>
        <w:trPr>
          <w:trHeight w:val="21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(25,910)</w:t>
            </w:r>
          </w:p>
        </w:tc>
      </w:tr>
      <w:tr>
        <w:trPr>
          <w:trHeight w:val="204"/>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strategic investments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(145,695)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strategic investments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82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(480,716)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(125,130)</w:t>
            </w: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4"/>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r>
      <w:tr>
        <w:trPr>
          <w:trHeight w:val="21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employee equity transactions to be remitted to employees and tax authorities, net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8,690</w:t>
            </w:r>
          </w:p>
        </w:tc>
      </w:tr>
      <w:tr>
        <w:trPr>
          <w:trHeight w:val="204"/>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repurchases of common stock</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(361,683)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(418,021)</w:t>
            </w:r>
          </w:p>
        </w:tc>
      </w:tr>
      <w:tr>
        <w:trPr>
          <w:trHeight w:val="21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(62,168)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(82,153)</w:t>
            </w:r>
          </w:p>
        </w:tc>
      </w:tr>
      <w:tr>
        <w:trPr>
          <w:trHeight w:val="197"/>
        </w:trPr>
        <w:tc>
          <w:tcPr>
            <w:tcW w:w="822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(394,110)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(490,530)</w:t>
            </w: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11,854</w:t>
            </w:r>
          </w:p>
        </w:tc>
      </w:tr>
      <w:tr>
        <w:trPr>
          <w:trHeight w:val="197"/>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(352,902)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(114,545)</w:t>
            </w: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1,283,781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1,361,417</w:t>
            </w:r>
          </w:p>
        </w:tc>
      </w:tr>
      <w:tr>
        <w:trPr>
          <w:trHeight w:val="202"/>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930,879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1,246,872</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50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GAAP to Non-GAAP Measures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thousands, except share and per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80" w:type="dxa"/>
            <w:vAlign w:val="bottom"/>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8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0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8"/>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income from operations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310,473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241,592</w:t>
            </w:r>
          </w:p>
        </w:tc>
        <w:tc>
          <w:tcPr>
            <w:tcW w:w="0" w:type="dxa"/>
            <w:vAlign w:val="bottom"/>
          </w:tcPr>
          <w:p>
            <w:pPr>
              <w:spacing w:after="0"/>
              <w:rPr>
                <w:sz w:val="1"/>
                <w:szCs w:val="1"/>
                <w:color w:val="auto"/>
              </w:rPr>
            </w:pP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Stock-based compensation expense and related payroll taxes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189,172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216,730</w:t>
            </w:r>
          </w:p>
        </w:tc>
        <w:tc>
          <w:tcPr>
            <w:tcW w:w="0" w:type="dxa"/>
            <w:vAlign w:val="bottom"/>
          </w:tcPr>
          <w:p>
            <w:pPr>
              <w:spacing w:after="0"/>
              <w:rPr>
                <w:sz w:val="1"/>
                <w:szCs w:val="1"/>
                <w:color w:val="auto"/>
              </w:rPr>
            </w:pPr>
          </w:p>
        </w:tc>
      </w:tr>
      <w:tr>
        <w:trPr>
          <w:trHeight w:val="220"/>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Acquisition-related expenses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9,074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9,004</w:t>
            </w:r>
          </w:p>
        </w:tc>
        <w:tc>
          <w:tcPr>
            <w:tcW w:w="0" w:type="dxa"/>
            <w:vAlign w:val="bottom"/>
          </w:tcPr>
          <w:p>
            <w:pPr>
              <w:spacing w:after="0"/>
              <w:rPr>
                <w:sz w:val="1"/>
                <w:szCs w:val="1"/>
                <w:color w:val="auto"/>
              </w:rPr>
            </w:pP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Non-GAAP income from operations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508,719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467,326</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GAAP operating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0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25.1 %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20.6 %</w:t>
            </w:r>
          </w:p>
        </w:tc>
        <w:tc>
          <w:tcPr>
            <w:tcW w:w="0" w:type="dxa"/>
            <w:vAlign w:val="bottom"/>
          </w:tcPr>
          <w:p>
            <w:pPr>
              <w:spacing w:after="0"/>
              <w:rPr>
                <w:sz w:val="1"/>
                <w:szCs w:val="1"/>
                <w:color w:val="auto"/>
              </w:rPr>
            </w:pP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Non-GAAP operating margin</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39.8 %</w:t>
            </w:r>
          </w:p>
        </w:tc>
        <w:tc>
          <w:tcPr>
            <w:tcW w:w="0" w:type="dxa"/>
            <w:vAlign w:val="bottom"/>
          </w:tcPr>
          <w:p>
            <w:pPr>
              <w:spacing w:after="0"/>
              <w:rPr>
                <w:sz w:val="1"/>
                <w:szCs w:val="1"/>
                <w:color w:val="auto"/>
              </w:rPr>
            </w:pPr>
          </w:p>
        </w:tc>
      </w:tr>
      <w:tr>
        <w:trPr>
          <w:trHeight w:val="258"/>
        </w:trPr>
        <w:tc>
          <w:tcPr>
            <w:tcW w:w="8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net income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425,677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254,603</w:t>
            </w:r>
          </w:p>
        </w:tc>
        <w:tc>
          <w:tcPr>
            <w:tcW w:w="0" w:type="dxa"/>
            <w:vAlign w:val="bottom"/>
          </w:tcPr>
          <w:p>
            <w:pPr>
              <w:spacing w:after="0"/>
              <w:rPr>
                <w:sz w:val="1"/>
                <w:szCs w:val="1"/>
                <w:color w:val="auto"/>
              </w:rPr>
            </w:pP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Stock-based compensation expense and related payroll taxes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189,172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216,730</w:t>
            </w:r>
          </w:p>
        </w:tc>
        <w:tc>
          <w:tcPr>
            <w:tcW w:w="0" w:type="dxa"/>
            <w:vAlign w:val="bottom"/>
          </w:tcPr>
          <w:p>
            <w:pPr>
              <w:spacing w:after="0"/>
              <w:rPr>
                <w:sz w:val="1"/>
                <w:szCs w:val="1"/>
                <w:color w:val="auto"/>
              </w:rPr>
            </w:pPr>
          </w:p>
        </w:tc>
      </w:tr>
      <w:tr>
        <w:trPr>
          <w:trHeight w:val="220"/>
        </w:trPr>
        <w:tc>
          <w:tcPr>
            <w:tcW w:w="8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(Gains) losses on strategic investments, net</w:t>
            </w:r>
          </w:p>
        </w:tc>
        <w:tc>
          <w:tcPr>
            <w:tcW w:w="300" w:type="dxa"/>
            <w:vAlign w:val="bottom"/>
          </w:tcPr>
          <w:p>
            <w:pPr>
              <w:spacing w:after="0"/>
              <w:rPr>
                <w:sz w:val="19"/>
                <w:szCs w:val="19"/>
                <w:color w:val="auto"/>
              </w:rPr>
            </w:pP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(152,297)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13,619</w:t>
            </w:r>
          </w:p>
        </w:tc>
        <w:tc>
          <w:tcPr>
            <w:tcW w:w="0" w:type="dxa"/>
            <w:vAlign w:val="bottom"/>
          </w:tcPr>
          <w:p>
            <w:pPr>
              <w:spacing w:after="0"/>
              <w:rPr>
                <w:sz w:val="1"/>
                <w:szCs w:val="1"/>
                <w:color w:val="auto"/>
              </w:rPr>
            </w:pPr>
          </w:p>
        </w:tc>
      </w:tr>
      <w:tr>
        <w:trPr>
          <w:trHeight w:val="22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Acquisition-related expenses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9,074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9,004</w:t>
            </w:r>
          </w:p>
        </w:tc>
        <w:tc>
          <w:tcPr>
            <w:tcW w:w="0" w:type="dxa"/>
            <w:vAlign w:val="bottom"/>
          </w:tcPr>
          <w:p>
            <w:pPr>
              <w:spacing w:after="0"/>
              <w:rPr>
                <w:sz w:val="1"/>
                <w:szCs w:val="1"/>
                <w:color w:val="auto"/>
              </w:rPr>
            </w:pPr>
          </w:p>
        </w:tc>
      </w:tr>
      <w:tr>
        <w:trPr>
          <w:trHeight w:val="220"/>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Tax effects on non-GAAP adjustments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(6,586)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(45,663)</w:t>
            </w:r>
          </w:p>
        </w:tc>
        <w:tc>
          <w:tcPr>
            <w:tcW w:w="0" w:type="dxa"/>
            <w:vAlign w:val="bottom"/>
          </w:tcPr>
          <w:p>
            <w:pPr>
              <w:spacing w:after="0"/>
              <w:rPr>
                <w:sz w:val="1"/>
                <w:szCs w:val="1"/>
                <w:color w:val="auto"/>
              </w:rPr>
            </w:pP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Non-GAAP net income</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465,040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448,293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share - basic and diluted:</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GAAP net income per share - basic</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0.84</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Non-GAAP net income per share - basic</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060" w:type="dxa"/>
            <w:vAlign w:val="bottom"/>
          </w:tcPr>
          <w:p>
            <w:pPr>
              <w:ind w:left="220"/>
              <w:spacing w:after="0" w:line="191" w:lineRule="exact"/>
              <w:rPr>
                <w:sz w:val="20"/>
                <w:szCs w:val="20"/>
                <w:color w:val="auto"/>
              </w:rPr>
            </w:pPr>
            <w:r>
              <w:rPr>
                <w:rFonts w:ascii="Times New Roman" w:cs="Times New Roman" w:eastAsia="Times New Roman" w:hAnsi="Times New Roman"/>
                <w:sz w:val="17"/>
                <w:szCs w:val="17"/>
                <w:color w:val="auto"/>
              </w:rPr>
              <w:t>GAAP net income per share - diluted</w:t>
            </w: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rPr>
              <w:t>1.42</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rPr>
              <w:t>0.81</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Non-GAAP net income per share - diluted</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and non-GAAP weighted-average shares used to compute net income per share - basic</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294,434,952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304,908,652</w:t>
            </w:r>
          </w:p>
        </w:tc>
        <w:tc>
          <w:tcPr>
            <w:tcW w:w="0" w:type="dxa"/>
            <w:vAlign w:val="bottom"/>
          </w:tcPr>
          <w:p>
            <w:pPr>
              <w:spacing w:after="0"/>
              <w:rPr>
                <w:sz w:val="1"/>
                <w:szCs w:val="1"/>
                <w:color w:val="auto"/>
              </w:rPr>
            </w:pP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GAAP and non-GAAP weighted-average shares used to compute net income per share - diluted</w:t>
            </w:r>
          </w:p>
        </w:tc>
        <w:tc>
          <w:tcPr>
            <w:tcW w:w="30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300,233,667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312,783,861</w:t>
            </w:r>
          </w:p>
        </w:tc>
        <w:tc>
          <w:tcPr>
            <w:tcW w:w="0" w:type="dxa"/>
            <w:vAlign w:val="bottom"/>
          </w:tcPr>
          <w:p>
            <w:pPr>
              <w:spacing w:after="0"/>
              <w:rPr>
                <w:sz w:val="1"/>
                <w:szCs w:val="1"/>
                <w:color w:val="auto"/>
              </w:rPr>
            </w:pPr>
          </w:p>
        </w:tc>
      </w:tr>
      <w:tr>
        <w:trPr>
          <w:trHeight w:val="258"/>
        </w:trPr>
        <w:tc>
          <w:tcPr>
            <w:tcW w:w="8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521,610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489,261</w:t>
            </w:r>
          </w:p>
        </w:tc>
        <w:tc>
          <w:tcPr>
            <w:tcW w:w="0" w:type="dxa"/>
            <w:vAlign w:val="bottom"/>
          </w:tcPr>
          <w:p>
            <w:pPr>
              <w:spacing w:after="0"/>
              <w:rPr>
                <w:sz w:val="1"/>
                <w:szCs w:val="1"/>
                <w:color w:val="auto"/>
              </w:rPr>
            </w:pPr>
          </w:p>
        </w:tc>
      </w:tr>
      <w:tr>
        <w:trPr>
          <w:trHeight w:val="22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Purchases of property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(21,113)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(25,910)</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Free cash flow (non-GAAP)</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500,497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463,351</w:t>
            </w:r>
          </w:p>
        </w:tc>
        <w:tc>
          <w:tcPr>
            <w:tcW w:w="0" w:type="dxa"/>
            <w:vAlign w:val="bottom"/>
          </w:tcPr>
          <w:p>
            <w:pPr>
              <w:spacing w:after="0"/>
              <w:rPr>
                <w:sz w:val="1"/>
                <w:szCs w:val="1"/>
                <w:color w:val="auto"/>
              </w:rPr>
            </w:pPr>
          </w:p>
        </w:tc>
      </w:tr>
      <w:tr>
        <w:trPr>
          <w:trHeight w:val="21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(480,716)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(125,130)</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(394,110)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(490,530)</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cash flow margin (GAAP)</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41.6 %</w:t>
            </w:r>
          </w:p>
        </w:tc>
        <w:tc>
          <w:tcPr>
            <w:tcW w:w="0" w:type="dxa"/>
            <w:vAlign w:val="bottom"/>
          </w:tcPr>
          <w:p>
            <w:pPr>
              <w:spacing w:after="0"/>
              <w:rPr>
                <w:sz w:val="1"/>
                <w:szCs w:val="1"/>
                <w:color w:val="auto"/>
              </w:rPr>
            </w:pP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Free cash flow margin (non-GAAP)</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39.4 %</w:t>
            </w:r>
          </w:p>
        </w:tc>
        <w:tc>
          <w:tcPr>
            <w:tcW w:w="0" w:type="dxa"/>
            <w:vAlign w:val="bottom"/>
          </w:tcPr>
          <w:p>
            <w:pPr>
              <w:spacing w:after="0"/>
              <w:rPr>
                <w:sz w:val="1"/>
                <w:szCs w:val="1"/>
                <w:color w:val="auto"/>
              </w:rPr>
            </w:pPr>
          </w:p>
        </w:tc>
      </w:tr>
      <w:tr>
        <w:trPr>
          <w:trHeight w:val="258"/>
        </w:trPr>
        <w:tc>
          <w:tcPr>
            <w:tcW w:w="8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640" w:type="dxa"/>
            <w:vAlign w:val="bottom"/>
            <w:gridSpan w:val="3"/>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8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187"/>
        </w:trPr>
        <w:tc>
          <w:tcPr>
            <w:tcW w:w="80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8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1"/>
                <w:szCs w:val="11"/>
                <w:color w:val="auto"/>
              </w:rPr>
            </w:pPr>
          </w:p>
        </w:tc>
        <w:tc>
          <w:tcPr>
            <w:tcW w:w="1420" w:type="dxa"/>
            <w:vAlign w:val="bottom"/>
          </w:tcPr>
          <w:p>
            <w:pPr>
              <w:jc w:val="right"/>
              <w:ind w:right="36"/>
              <w:spacing w:after="0" w:line="129" w:lineRule="exact"/>
              <w:rPr>
                <w:sz w:val="20"/>
                <w:szCs w:val="20"/>
                <w:color w:val="auto"/>
              </w:rPr>
            </w:pPr>
            <w:r>
              <w:rPr>
                <w:rFonts w:ascii="Times New Roman" w:cs="Times New Roman" w:eastAsia="Times New Roman" w:hAnsi="Times New Roman"/>
                <w:sz w:val="14"/>
                <w:szCs w:val="14"/>
                <w:b w:val="1"/>
                <w:bCs w:val="1"/>
                <w:color w:val="auto"/>
                <w:w w:val="96"/>
              </w:rPr>
              <w:t>YoY Revenue Growth</w:t>
            </w:r>
          </w:p>
        </w:tc>
        <w:tc>
          <w:tcPr>
            <w:tcW w:w="0" w:type="dxa"/>
            <w:vAlign w:val="bottom"/>
          </w:tcPr>
          <w:p>
            <w:pPr>
              <w:spacing w:after="0"/>
              <w:rPr>
                <w:sz w:val="1"/>
                <w:szCs w:val="1"/>
                <w:color w:val="auto"/>
              </w:rPr>
            </w:pPr>
          </w:p>
        </w:tc>
      </w:tr>
      <w:tr>
        <w:trPr>
          <w:trHeight w:val="188"/>
        </w:trPr>
        <w:tc>
          <w:tcPr>
            <w:tcW w:w="8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7"/>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revenue</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1,239,006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0" w:type="dxa"/>
            <w:vAlign w:val="bottom"/>
          </w:tcPr>
          <w:p>
            <w:pPr>
              <w:spacing w:after="0"/>
              <w:rPr>
                <w:sz w:val="1"/>
                <w:szCs w:val="1"/>
                <w:color w:val="auto"/>
              </w:rPr>
            </w:pPr>
          </w:p>
        </w:tc>
      </w:tr>
      <w:tr>
        <w:trPr>
          <w:trHeight w:val="220"/>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Add: Constant currency impact</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(10,185)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in constant currency (non-GAAP)</w:t>
            </w: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1,228,821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6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2026-05-21T15:10:19Z</dcterms:created>
  <dcterms:modified xsi:type="dcterms:W3CDTF">2026-05-21T15:10:19Z</dcterms:modified>
</cp:coreProperties>
</file>