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-628650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-628650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15875</wp:posOffset>
            </wp:positionV>
            <wp:extent cx="7325360" cy="6159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6159500"/>
                    </a:xfrm>
                    <a:prstGeom prst="rect">
                      <a:avLst/>
                    </a:prstGeom>
                    <a:noFill/>
                  </pic:spPr>
                </pic:pic>
              </a:graphicData>
            </a:graphic>
          </wp:anchor>
        </w:drawing>
      </w:r>
    </w:p>
    <w:p>
      <w:pPr>
        <w:spacing w:after="0" w:line="37" w:lineRule="exact"/>
        <w:rPr>
          <w:sz w:val="24"/>
          <w:szCs w:val="24"/>
          <w:color w:val="auto"/>
        </w:rPr>
      </w:pPr>
    </w:p>
    <w:p>
      <w:pPr>
        <w:sectPr>
          <w:pgSz w:w="11900" w:h="16894" w:orient="portrait"/>
          <w:cols w:equalWidth="0" w:num="2">
            <w:col w:w="2280" w:space="480"/>
            <w:col w:w="8760"/>
          </w:cols>
          <w:pgMar w:left="240" w:top="222" w:right="139" w:bottom="0" w:gutter="0" w:footer="0" w:header="0"/>
        </w:sectPr>
      </w:pPr>
    </w:p>
    <w:tbl>
      <w:tblPr>
        <w:tblLayout w:type="fixed"/>
        <w:tblInd w:w="80" w:type="dxa"/>
        <w:tblCellMar>
          <w:top w:w="0" w:type="dxa"/>
          <w:left w:w="0" w:type="dxa"/>
          <w:bottom w:w="0" w:type="dxa"/>
          <w:right w:w="0" w:type="dxa"/>
        </w:tblCellMar>
      </w:tblPr>
      <w:tr>
        <w:trPr>
          <w:trHeight w:val="241"/>
        </w:trPr>
        <w:tc>
          <w:tcPr>
            <w:tcW w:w="254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30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Subotovsky Santiago</w:t>
              </w:r>
            </w:hyperlink>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40" w:type="dxa"/>
            <w:vAlign w:val="bottom"/>
            <w:gridSpan w:val="3"/>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Zoom Video Communications,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ZM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50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00" w:type="dxa"/>
            <w:vAlign w:val="bottom"/>
            <w:tcBorders>
              <w:top w:val="single" w:sz="8" w:color="0000EE"/>
            </w:tcBorders>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0" w:type="dxa"/>
            <w:vAlign w:val="bottom"/>
            <w:tcBorders>
              <w:top w:val="single" w:sz="8" w:color="0000EE"/>
              <w:bottom w:val="single" w:sz="8" w:color="9A9A9A"/>
            </w:tcBorders>
          </w:tcPr>
          <w:p>
            <w:pPr>
              <w:spacing w:after="0"/>
              <w:rPr>
                <w:sz w:val="19"/>
                <w:szCs w:val="19"/>
                <w:color w:val="auto"/>
              </w:rPr>
            </w:pPr>
          </w:p>
        </w:tc>
        <w:tc>
          <w:tcPr>
            <w:tcW w:w="960" w:type="dxa"/>
            <w:vAlign w:val="bottom"/>
            <w:tcBorders>
              <w:top w:val="single" w:sz="8" w:color="0000EE"/>
              <w:bottom w:val="single" w:sz="8" w:color="9A9A9A"/>
            </w:tcBorders>
          </w:tcPr>
          <w:p>
            <w:pPr>
              <w:spacing w:after="0"/>
              <w:rPr>
                <w:sz w:val="19"/>
                <w:szCs w:val="19"/>
                <w:color w:val="auto"/>
              </w:rPr>
            </w:pPr>
          </w:p>
        </w:tc>
        <w:tc>
          <w:tcPr>
            <w:tcW w:w="74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8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70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30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80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3080" w:type="dxa"/>
            <w:vAlign w:val="bottom"/>
            <w:gridSpan w:val="4"/>
            <w:vMerge w:val="restart"/>
          </w:tcPr>
          <w:p>
            <w:pPr>
              <w:ind w:left="140"/>
              <w:spacing w:after="0"/>
              <w:rPr>
                <w:sz w:val="20"/>
                <w:szCs w:val="20"/>
                <w:color w:val="auto"/>
              </w:rPr>
            </w:pPr>
            <w:r>
              <w:rPr>
                <w:rFonts w:ascii="Arial" w:cs="Arial" w:eastAsia="Arial" w:hAnsi="Arial"/>
                <w:sz w:val="17"/>
                <w:szCs w:val="17"/>
                <w:color w:val="0000FF"/>
              </w:rPr>
              <w:t>01/06/2020</w:t>
            </w: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160 BOVET ROAD, SUITE 300</w:t>
            </w:r>
          </w:p>
        </w:tc>
        <w:tc>
          <w:tcPr>
            <w:tcW w:w="1300" w:type="dxa"/>
            <w:vAlign w:val="bottom"/>
          </w:tcPr>
          <w:p>
            <w:pPr>
              <w:spacing w:after="0"/>
              <w:rPr>
                <w:sz w:val="11"/>
                <w:szCs w:val="11"/>
                <w:color w:val="auto"/>
              </w:rPr>
            </w:pPr>
          </w:p>
        </w:tc>
        <w:tc>
          <w:tcPr>
            <w:tcW w:w="3080" w:type="dxa"/>
            <w:vAlign w:val="bottom"/>
            <w:gridSpan w:val="4"/>
            <w:vMerge w:val="continue"/>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2" w:right="740" w:hanging="2"/>
        <w:spacing w:after="0" w:line="23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2"/>
        <w:spacing w:after="0"/>
        <w:tabs>
          <w:tab w:leader="none" w:pos="522" w:val="left"/>
          <w:tab w:leader="none" w:pos="2162"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5" w:lineRule="exact"/>
        <w:rPr>
          <w:sz w:val="20"/>
          <w:szCs w:val="20"/>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2"/>
        <w:spacing w:after="0"/>
        <w:tabs>
          <w:tab w:leader="none" w:pos="21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03" w:lineRule="exact"/>
        <w:rPr>
          <w:sz w:val="20"/>
          <w:szCs w:val="20"/>
          <w:color w:val="auto"/>
        </w:rPr>
      </w:pPr>
    </w:p>
    <w:p>
      <w:pPr>
        <w:sectPr>
          <w:pgSz w:w="11900" w:h="16894" w:orient="portrait"/>
          <w:cols w:equalWidth="0" w:num="2">
            <w:col w:w="8000" w:space="58"/>
            <w:col w:w="3462"/>
          </w:cols>
          <w:pgMar w:left="240" w:top="222" w:right="139" w:bottom="0" w:gutter="0" w:footer="0" w:header="0"/>
          <w:type w:val="continuous"/>
        </w:sectPr>
      </w:pPr>
    </w:p>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SAN MATEO</w:t>
            </w:r>
          </w:p>
        </w:tc>
        <w:tc>
          <w:tcPr>
            <w:tcW w:w="980" w:type="dxa"/>
            <w:vAlign w:val="bottom"/>
          </w:tcPr>
          <w:p>
            <w:pPr>
              <w:ind w:left="140"/>
              <w:spacing w:after="0"/>
              <w:rPr>
                <w:sz w:val="20"/>
                <w:szCs w:val="20"/>
                <w:color w:val="auto"/>
              </w:rPr>
            </w:pPr>
            <w:r>
              <w:rPr>
                <w:rFonts w:ascii="Arial" w:cs="Arial" w:eastAsia="Arial" w:hAnsi="Arial"/>
                <w:sz w:val="17"/>
                <w:szCs w:val="17"/>
                <w:color w:val="0000FF"/>
              </w:rPr>
              <w:t>CA</w:t>
            </w:r>
          </w:p>
        </w:tc>
        <w:tc>
          <w:tcPr>
            <w:tcW w:w="1700" w:type="dxa"/>
            <w:vAlign w:val="bottom"/>
          </w:tcPr>
          <w:p>
            <w:pPr>
              <w:ind w:left="460"/>
              <w:spacing w:after="0"/>
              <w:rPr>
                <w:sz w:val="20"/>
                <w:szCs w:val="20"/>
                <w:color w:val="auto"/>
              </w:rPr>
            </w:pPr>
            <w:r>
              <w:rPr>
                <w:rFonts w:ascii="Arial" w:cs="Arial" w:eastAsia="Arial" w:hAnsi="Arial"/>
                <w:sz w:val="17"/>
                <w:szCs w:val="17"/>
                <w:color w:val="0000FF"/>
              </w:rPr>
              <w:t>94402</w:t>
            </w:r>
          </w:p>
        </w:tc>
      </w:tr>
      <w:tr>
        <w:trPr>
          <w:trHeight w:val="150"/>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19" w:lineRule="auto"/>
        <w:tabs>
          <w:tab w:leader="none" w:pos="45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0"/>
          <w:szCs w:val="20"/>
          <w:color w:val="auto"/>
        </w:rPr>
      </w:pPr>
    </w:p>
    <w:p>
      <w:pPr>
        <w:jc w:val="right"/>
        <w:ind w:right="220"/>
        <w:spacing w:after="0"/>
        <w:rPr>
          <w:sz w:val="20"/>
          <w:szCs w:val="20"/>
          <w:color w:val="auto"/>
        </w:rPr>
      </w:pPr>
      <w:r>
        <w:rPr>
          <w:rFonts w:ascii="Arial" w:cs="Arial" w:eastAsia="Arial" w:hAnsi="Arial"/>
          <w:sz w:val="13"/>
          <w:szCs w:val="13"/>
          <w:color w:val="auto"/>
        </w:rPr>
        <w:t>Form filed by More than One Reporting Person</w:t>
      </w:r>
    </w:p>
    <w:p>
      <w:pPr>
        <w:spacing w:after="0" w:line="416" w:lineRule="exact"/>
        <w:rPr>
          <w:sz w:val="20"/>
          <w:szCs w:val="20"/>
          <w:color w:val="auto"/>
        </w:rPr>
      </w:pPr>
    </w:p>
    <w:p>
      <w:pPr>
        <w:sectPr>
          <w:pgSz w:w="11900" w:h="16894" w:orient="portrait"/>
          <w:cols w:equalWidth="0" w:num="2">
            <w:col w:w="3920" w:space="140"/>
            <w:col w:w="7460"/>
          </w:cols>
          <w:pgMar w:left="240" w:top="222"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gridSpan w:val="2"/>
          </w:tcPr>
          <w:p>
            <w:pPr>
              <w:ind w:left="860"/>
              <w:spacing w:after="0" w:line="127"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spacing w:after="0"/>
              <w:rPr>
                <w:sz w:val="11"/>
                <w:szCs w:val="11"/>
                <w:color w:val="auto"/>
              </w:rPr>
            </w:pPr>
          </w:p>
        </w:tc>
        <w:tc>
          <w:tcPr>
            <w:tcW w:w="106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5"/>
          </w:tcPr>
          <w:p>
            <w:pPr>
              <w:ind w:left="1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86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1"/>
                <w:szCs w:val="11"/>
                <w:color w:val="auto"/>
              </w:rPr>
            </w:pPr>
          </w:p>
        </w:tc>
        <w:tc>
          <w:tcPr>
            <w:tcW w:w="3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3"/>
              </w:rPr>
              <w:t>(A) or</w:t>
            </w:r>
          </w:p>
        </w:tc>
        <w:tc>
          <w:tcPr>
            <w:tcW w:w="7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3"/>
            <w:vMerge w:val="restart"/>
          </w:tcPr>
          <w:p>
            <w:pPr>
              <w:jc w:val="right"/>
              <w:ind w:right="83"/>
              <w:spacing w:after="0"/>
              <w:rPr>
                <w:sz w:val="20"/>
                <w:szCs w:val="20"/>
                <w:color w:val="auto"/>
              </w:rPr>
            </w:pPr>
            <w:r>
              <w:rPr>
                <w:rFonts w:ascii="Arial" w:cs="Arial" w:eastAsia="Arial" w:hAnsi="Arial"/>
                <w:sz w:val="17"/>
                <w:szCs w:val="17"/>
                <w:color w:val="0000FF"/>
              </w:rPr>
              <w:t>01/06/2020</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1"/>
                <w:szCs w:val="11"/>
                <w:color w:val="008000"/>
              </w:rPr>
              <w:t>(1)(2)</w:t>
            </w:r>
          </w:p>
        </w:tc>
        <w:tc>
          <w:tcPr>
            <w:tcW w:w="10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1,448,524</w:t>
            </w:r>
          </w:p>
        </w:tc>
        <w:tc>
          <w:tcPr>
            <w:tcW w:w="36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jc w:val="right"/>
              <w:ind w:right="12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Pr>
          <w:p>
            <w:pPr>
              <w:spacing w:after="0"/>
              <w:rPr>
                <w:sz w:val="21"/>
                <w:szCs w:val="21"/>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1,448,524</w:t>
            </w:r>
          </w:p>
        </w:tc>
        <w:tc>
          <w:tcPr>
            <w:tcW w:w="340" w:type="dxa"/>
            <w:vAlign w:val="bottom"/>
          </w:tcPr>
          <w:p>
            <w:pPr>
              <w:spacing w:after="0"/>
              <w:rPr>
                <w:sz w:val="21"/>
                <w:szCs w:val="21"/>
                <w:color w:val="auto"/>
              </w:rPr>
            </w:pPr>
          </w:p>
        </w:tc>
        <w:tc>
          <w:tcPr>
            <w:tcW w:w="640" w:type="dxa"/>
            <w:vAlign w:val="bottom"/>
            <w:vMerge w:val="restart"/>
          </w:tcPr>
          <w:p>
            <w:pPr>
              <w:jc w:val="center"/>
              <w:ind w:right="391"/>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1"/>
                <w:szCs w:val="21"/>
                <w:color w:val="008000"/>
                <w:w w:val="96"/>
                <w:vertAlign w:val="superscript"/>
              </w:rPr>
              <w:t>(3)</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3"/>
            <w:vMerge w:val="restart"/>
          </w:tcPr>
          <w:p>
            <w:pPr>
              <w:jc w:val="right"/>
              <w:ind w:right="83"/>
              <w:spacing w:after="0"/>
              <w:rPr>
                <w:sz w:val="20"/>
                <w:szCs w:val="20"/>
                <w:color w:val="auto"/>
              </w:rPr>
            </w:pPr>
            <w:r>
              <w:rPr>
                <w:rFonts w:ascii="Arial" w:cs="Arial" w:eastAsia="Arial" w:hAnsi="Arial"/>
                <w:sz w:val="17"/>
                <w:szCs w:val="17"/>
                <w:color w:val="0000FF"/>
              </w:rPr>
              <w:t>01/06/2020</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24"/>
              <w:spacing w:after="0"/>
              <w:rPr>
                <w:sz w:val="20"/>
                <w:szCs w:val="20"/>
                <w:color w:val="auto"/>
              </w:rPr>
            </w:pPr>
            <w:r>
              <w:rPr>
                <w:rFonts w:ascii="Arial" w:cs="Arial" w:eastAsia="Arial" w:hAnsi="Arial"/>
                <w:sz w:val="25"/>
                <w:szCs w:val="25"/>
                <w:color w:val="0000FF"/>
                <w:w w:val="85"/>
                <w:vertAlign w:val="subscript"/>
              </w:rPr>
              <w:t>J</w:t>
            </w:r>
            <w:r>
              <w:rPr>
                <w:rFonts w:ascii="Arial" w:cs="Arial" w:eastAsia="Arial" w:hAnsi="Arial"/>
                <w:sz w:val="11"/>
                <w:szCs w:val="11"/>
                <w:color w:val="008000"/>
                <w:w w:val="85"/>
              </w:rPr>
              <w:t>(1)(2)</w:t>
            </w:r>
          </w:p>
        </w:tc>
        <w:tc>
          <w:tcPr>
            <w:tcW w:w="10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1,448,524</w:t>
            </w:r>
          </w:p>
        </w:tc>
        <w:tc>
          <w:tcPr>
            <w:tcW w:w="36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vMerge w:val="restart"/>
          </w:tcPr>
          <w:p>
            <w:pPr>
              <w:jc w:val="right"/>
              <w:ind w:right="12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Pr>
          <w:p>
            <w:pPr>
              <w:spacing w:after="0"/>
              <w:rPr>
                <w:sz w:val="21"/>
                <w:szCs w:val="21"/>
                <w:color w:val="auto"/>
              </w:rPr>
            </w:pPr>
          </w:p>
        </w:tc>
        <w:tc>
          <w:tcPr>
            <w:tcW w:w="740" w:type="dxa"/>
            <w:vAlign w:val="bottom"/>
            <w:vMerge w:val="restart"/>
          </w:tcPr>
          <w:p>
            <w:pPr>
              <w:jc w:val="center"/>
              <w:ind w:left="395"/>
              <w:spacing w:after="0"/>
              <w:rPr>
                <w:sz w:val="20"/>
                <w:szCs w:val="20"/>
                <w:color w:val="auto"/>
              </w:rPr>
            </w:pPr>
            <w:r>
              <w:rPr>
                <w:rFonts w:ascii="Arial" w:cs="Arial" w:eastAsia="Arial" w:hAnsi="Arial"/>
                <w:sz w:val="17"/>
                <w:szCs w:val="17"/>
                <w:color w:val="0000FF"/>
                <w:w w:val="84"/>
              </w:rPr>
              <w:t>0</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vMerge w:val="restart"/>
          </w:tcPr>
          <w:p>
            <w:pPr>
              <w:jc w:val="center"/>
              <w:ind w:right="391"/>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1"/>
                <w:szCs w:val="21"/>
                <w:color w:val="008000"/>
                <w:w w:val="96"/>
                <w:vertAlign w:val="superscript"/>
              </w:rPr>
              <w:t>(3)</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3"/>
            <w:vMerge w:val="restart"/>
          </w:tcPr>
          <w:p>
            <w:pPr>
              <w:jc w:val="right"/>
              <w:ind w:right="83"/>
              <w:spacing w:after="0"/>
              <w:rPr>
                <w:sz w:val="20"/>
                <w:szCs w:val="20"/>
                <w:color w:val="auto"/>
              </w:rPr>
            </w:pPr>
            <w:r>
              <w:rPr>
                <w:rFonts w:ascii="Arial" w:cs="Arial" w:eastAsia="Arial" w:hAnsi="Arial"/>
                <w:sz w:val="17"/>
                <w:szCs w:val="17"/>
                <w:color w:val="0000FF"/>
              </w:rPr>
              <w:t>01/06/2020</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1"/>
                <w:szCs w:val="11"/>
                <w:color w:val="008000"/>
              </w:rPr>
              <w:t>(4)(5)</w:t>
            </w:r>
          </w:p>
        </w:tc>
        <w:tc>
          <w:tcPr>
            <w:tcW w:w="10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176,476</w:t>
            </w:r>
          </w:p>
        </w:tc>
        <w:tc>
          <w:tcPr>
            <w:tcW w:w="36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jc w:val="right"/>
              <w:ind w:right="12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Pr>
          <w:p>
            <w:pPr>
              <w:spacing w:after="0"/>
              <w:rPr>
                <w:sz w:val="21"/>
                <w:szCs w:val="21"/>
                <w:color w:val="auto"/>
              </w:rPr>
            </w:pPr>
          </w:p>
        </w:tc>
        <w:tc>
          <w:tcPr>
            <w:tcW w:w="1240" w:type="dxa"/>
            <w:vAlign w:val="bottom"/>
            <w:gridSpan w:val="2"/>
            <w:vMerge w:val="restart"/>
          </w:tcPr>
          <w:p>
            <w:pPr>
              <w:jc w:val="center"/>
              <w:ind w:right="1"/>
              <w:spacing w:after="0"/>
              <w:rPr>
                <w:sz w:val="20"/>
                <w:szCs w:val="20"/>
                <w:color w:val="auto"/>
              </w:rPr>
            </w:pPr>
            <w:r>
              <w:rPr>
                <w:rFonts w:ascii="Arial" w:cs="Arial" w:eastAsia="Arial" w:hAnsi="Arial"/>
                <w:sz w:val="17"/>
                <w:szCs w:val="17"/>
                <w:color w:val="0000FF"/>
                <w:w w:val="87"/>
              </w:rPr>
              <w:t>176,476</w:t>
            </w:r>
          </w:p>
        </w:tc>
        <w:tc>
          <w:tcPr>
            <w:tcW w:w="340" w:type="dxa"/>
            <w:vAlign w:val="bottom"/>
          </w:tcPr>
          <w:p>
            <w:pPr>
              <w:spacing w:after="0"/>
              <w:rPr>
                <w:sz w:val="21"/>
                <w:szCs w:val="21"/>
                <w:color w:val="auto"/>
              </w:rPr>
            </w:pPr>
          </w:p>
        </w:tc>
        <w:tc>
          <w:tcPr>
            <w:tcW w:w="640" w:type="dxa"/>
            <w:vAlign w:val="bottom"/>
            <w:vMerge w:val="restart"/>
          </w:tcPr>
          <w:p>
            <w:pPr>
              <w:jc w:val="center"/>
              <w:ind w:right="391"/>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restart"/>
          </w:tcPr>
          <w:p>
            <w:pPr>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1"/>
                <w:szCs w:val="21"/>
                <w:color w:val="008000"/>
                <w:w w:val="96"/>
                <w:vertAlign w:val="superscript"/>
              </w:rPr>
              <w:t>(6)</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3"/>
            <w:vMerge w:val="restart"/>
          </w:tcPr>
          <w:p>
            <w:pPr>
              <w:jc w:val="right"/>
              <w:ind w:right="83"/>
              <w:spacing w:after="0"/>
              <w:rPr>
                <w:sz w:val="20"/>
                <w:szCs w:val="20"/>
                <w:color w:val="auto"/>
              </w:rPr>
            </w:pPr>
            <w:r>
              <w:rPr>
                <w:rFonts w:ascii="Arial" w:cs="Arial" w:eastAsia="Arial" w:hAnsi="Arial"/>
                <w:sz w:val="17"/>
                <w:szCs w:val="17"/>
                <w:color w:val="0000FF"/>
              </w:rPr>
              <w:t>01/06/2020</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24"/>
              <w:spacing w:after="0"/>
              <w:rPr>
                <w:sz w:val="20"/>
                <w:szCs w:val="20"/>
                <w:color w:val="auto"/>
              </w:rPr>
            </w:pPr>
            <w:r>
              <w:rPr>
                <w:rFonts w:ascii="Arial" w:cs="Arial" w:eastAsia="Arial" w:hAnsi="Arial"/>
                <w:sz w:val="25"/>
                <w:szCs w:val="25"/>
                <w:color w:val="0000FF"/>
                <w:w w:val="85"/>
                <w:vertAlign w:val="subscript"/>
              </w:rPr>
              <w:t>J</w:t>
            </w:r>
            <w:r>
              <w:rPr>
                <w:rFonts w:ascii="Arial" w:cs="Arial" w:eastAsia="Arial" w:hAnsi="Arial"/>
                <w:sz w:val="11"/>
                <w:szCs w:val="11"/>
                <w:color w:val="008000"/>
                <w:w w:val="85"/>
              </w:rPr>
              <w:t>(4)(5)</w:t>
            </w:r>
          </w:p>
        </w:tc>
        <w:tc>
          <w:tcPr>
            <w:tcW w:w="10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176,476</w:t>
            </w:r>
          </w:p>
        </w:tc>
        <w:tc>
          <w:tcPr>
            <w:tcW w:w="36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vMerge w:val="restart"/>
          </w:tcPr>
          <w:p>
            <w:pPr>
              <w:jc w:val="right"/>
              <w:ind w:right="12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Pr>
          <w:p>
            <w:pPr>
              <w:spacing w:after="0"/>
              <w:rPr>
                <w:sz w:val="21"/>
                <w:szCs w:val="21"/>
                <w:color w:val="auto"/>
              </w:rPr>
            </w:pPr>
          </w:p>
        </w:tc>
        <w:tc>
          <w:tcPr>
            <w:tcW w:w="740" w:type="dxa"/>
            <w:vAlign w:val="bottom"/>
            <w:vMerge w:val="restart"/>
          </w:tcPr>
          <w:p>
            <w:pPr>
              <w:jc w:val="center"/>
              <w:ind w:left="395"/>
              <w:spacing w:after="0"/>
              <w:rPr>
                <w:sz w:val="20"/>
                <w:szCs w:val="20"/>
                <w:color w:val="auto"/>
              </w:rPr>
            </w:pPr>
            <w:r>
              <w:rPr>
                <w:rFonts w:ascii="Arial" w:cs="Arial" w:eastAsia="Arial" w:hAnsi="Arial"/>
                <w:sz w:val="17"/>
                <w:szCs w:val="17"/>
                <w:color w:val="0000FF"/>
                <w:w w:val="84"/>
              </w:rPr>
              <w:t>0</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vMerge w:val="restart"/>
          </w:tcPr>
          <w:p>
            <w:pPr>
              <w:jc w:val="center"/>
              <w:ind w:right="391"/>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256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top w:val="single" w:sz="8" w:color="2C2C2C"/>
              <w:bottom w:val="single" w:sz="8" w:color="2C2C2C"/>
            </w:tcBorders>
            <w:gridSpan w:val="3"/>
          </w:tcPr>
          <w:p>
            <w:pPr>
              <w:jc w:val="right"/>
              <w:ind w:right="83"/>
              <w:spacing w:after="0"/>
              <w:rPr>
                <w:sz w:val="20"/>
                <w:szCs w:val="20"/>
                <w:color w:val="auto"/>
              </w:rPr>
            </w:pPr>
            <w:r>
              <w:rPr>
                <w:rFonts w:ascii="Arial" w:cs="Arial" w:eastAsia="Arial" w:hAnsi="Arial"/>
                <w:sz w:val="17"/>
                <w:szCs w:val="17"/>
                <w:color w:val="0000FF"/>
              </w:rPr>
              <w:t>01/06/2020</w:t>
            </w:r>
          </w:p>
        </w:tc>
        <w:tc>
          <w:tcPr>
            <w:tcW w:w="106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jc w:val="center"/>
              <w:ind w:right="204"/>
              <w:spacing w:after="0"/>
              <w:rPr>
                <w:sz w:val="20"/>
                <w:szCs w:val="20"/>
                <w:color w:val="auto"/>
              </w:rPr>
            </w:pPr>
            <w:r>
              <w:rPr>
                <w:rFonts w:ascii="Arial" w:cs="Arial" w:eastAsia="Arial" w:hAnsi="Arial"/>
                <w:sz w:val="25"/>
                <w:szCs w:val="25"/>
                <w:color w:val="0000FF"/>
                <w:w w:val="73"/>
                <w:vertAlign w:val="subscript"/>
              </w:rPr>
              <w:t>J</w:t>
            </w:r>
            <w:r>
              <w:rPr>
                <w:rFonts w:ascii="Arial" w:cs="Arial" w:eastAsia="Arial" w:hAnsi="Arial"/>
                <w:sz w:val="11"/>
                <w:szCs w:val="11"/>
                <w:color w:val="008000"/>
                <w:w w:val="73"/>
              </w:rPr>
              <w:t>(7)</w:t>
            </w:r>
          </w:p>
        </w:tc>
        <w:tc>
          <w:tcPr>
            <w:tcW w:w="720" w:type="dxa"/>
            <w:vAlign w:val="bottom"/>
            <w:tcBorders>
              <w:top w:val="single" w:sz="8" w:color="2C2C2C"/>
              <w:bottom w:val="single" w:sz="8" w:color="2C2C2C"/>
            </w:tcBorders>
          </w:tcPr>
          <w:p>
            <w:pPr>
              <w:jc w:val="center"/>
              <w:ind w:left="272"/>
              <w:spacing w:after="0"/>
              <w:rPr>
                <w:sz w:val="20"/>
                <w:szCs w:val="20"/>
                <w:color w:val="auto"/>
              </w:rPr>
            </w:pPr>
            <w:r>
              <w:rPr>
                <w:rFonts w:ascii="Arial" w:cs="Arial" w:eastAsia="Arial" w:hAnsi="Arial"/>
                <w:sz w:val="17"/>
                <w:szCs w:val="17"/>
                <w:color w:val="0000FF"/>
                <w:w w:val="89"/>
              </w:rPr>
              <w:t>9,777</w:t>
            </w:r>
          </w:p>
        </w:tc>
        <w:tc>
          <w:tcPr>
            <w:tcW w:w="2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740" w:type="dxa"/>
            <w:vAlign w:val="bottom"/>
            <w:tcBorders>
              <w:top w:val="single" w:sz="8" w:color="2C2C2C"/>
              <w:bottom w:val="single" w:sz="8" w:color="2C2C2C"/>
            </w:tcBorders>
          </w:tcPr>
          <w:p>
            <w:pPr>
              <w:jc w:val="right"/>
              <w:ind w:right="12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Borders>
              <w:top w:val="single" w:sz="8" w:color="2C2C2C"/>
              <w:bottom w:val="single" w:sz="8" w:color="2C2C2C"/>
            </w:tcBorders>
          </w:tcPr>
          <w:p>
            <w:pPr>
              <w:spacing w:after="0"/>
              <w:rPr>
                <w:sz w:val="24"/>
                <w:szCs w:val="24"/>
                <w:color w:val="auto"/>
              </w:rPr>
            </w:pPr>
          </w:p>
        </w:tc>
        <w:tc>
          <w:tcPr>
            <w:tcW w:w="1240" w:type="dxa"/>
            <w:vAlign w:val="bottom"/>
            <w:tcBorders>
              <w:top w:val="single" w:sz="8" w:color="2C2C2C"/>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8"/>
              </w:rPr>
              <w:t>12,992</w:t>
            </w:r>
          </w:p>
        </w:tc>
        <w:tc>
          <w:tcPr>
            <w:tcW w:w="34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jc w:val="center"/>
              <w:ind w:right="371"/>
              <w:spacing w:after="0"/>
              <w:rPr>
                <w:sz w:val="20"/>
                <w:szCs w:val="20"/>
                <w:color w:val="auto"/>
              </w:rPr>
            </w:pPr>
            <w:r>
              <w:rPr>
                <w:rFonts w:ascii="Arial" w:cs="Arial" w:eastAsia="Arial" w:hAnsi="Arial"/>
                <w:sz w:val="17"/>
                <w:szCs w:val="17"/>
                <w:color w:val="0000FF"/>
                <w:w w:val="97"/>
              </w:rPr>
              <w:t>D</w:t>
            </w:r>
          </w:p>
        </w:tc>
        <w:tc>
          <w:tcPr>
            <w:tcW w:w="14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2"/>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40" w:type="dxa"/>
            <w:vAlign w:val="bottom"/>
            <w:gridSpan w:val="11"/>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6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10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10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10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 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 or</w:t>
            </w:r>
          </w:p>
        </w:tc>
        <w:tc>
          <w:tcPr>
            <w:tcW w:w="74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ind w:right="12"/>
              <w:spacing w:after="0" w:line="130" w:lineRule="exact"/>
              <w:rPr>
                <w:sz w:val="20"/>
                <w:szCs w:val="20"/>
                <w:color w:val="auto"/>
              </w:rPr>
            </w:pPr>
            <w:r>
              <w:rPr>
                <w:rFonts w:ascii="Arial" w:cs="Arial" w:eastAsia="Arial" w:hAnsi="Arial"/>
                <w:sz w:val="12"/>
                <w:szCs w:val="12"/>
                <w:b w:val="1"/>
                <w:bCs w:val="1"/>
                <w:color w:val="auto"/>
                <w:w w:val="95"/>
              </w:rPr>
              <w:t>Expiration</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 of</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106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1"/>
                <w:szCs w:val="11"/>
                <w:color w:val="008000"/>
              </w:rPr>
              <w:t>(1)(2)</w:t>
            </w:r>
          </w:p>
        </w:tc>
        <w:tc>
          <w:tcPr>
            <w:tcW w:w="106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(8)</w:t>
            </w:r>
          </w:p>
        </w:tc>
        <w:tc>
          <w:tcPr>
            <w:tcW w:w="720" w:type="dxa"/>
            <w:vAlign w:val="bottom"/>
            <w:vMerge w:val="restart"/>
          </w:tcPr>
          <w:p>
            <w:pPr>
              <w:jc w:val="center"/>
              <w:ind w:right="12"/>
              <w:spacing w:after="0"/>
              <w:rPr>
                <w:sz w:val="20"/>
                <w:szCs w:val="20"/>
                <w:color w:val="auto"/>
              </w:rPr>
            </w:pPr>
            <w:r>
              <w:rPr>
                <w:rFonts w:ascii="Arial" w:cs="Arial" w:eastAsia="Arial" w:hAnsi="Arial"/>
                <w:sz w:val="11"/>
                <w:szCs w:val="11"/>
                <w:color w:val="008000"/>
                <w:w w:val="88"/>
              </w:rPr>
              <w:t>(8)</w:t>
            </w:r>
          </w:p>
        </w:tc>
        <w:tc>
          <w:tcPr>
            <w:tcW w:w="640" w:type="dxa"/>
            <w:vAlign w:val="bottom"/>
            <w:gridSpan w:val="2"/>
          </w:tcPr>
          <w:p>
            <w:pPr>
              <w:jc w:val="center"/>
              <w:ind w:right="3"/>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w w:val="87"/>
              </w:rPr>
              <w:t>1,448,524</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line="126"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4"/>
                <w:szCs w:val="4"/>
                <w:color w:val="auto"/>
              </w:rPr>
            </w:pPr>
          </w:p>
        </w:tc>
        <w:tc>
          <w:tcPr>
            <w:tcW w:w="1100" w:type="dxa"/>
            <w:vAlign w:val="bottom"/>
            <w:vMerge w:val="restart"/>
          </w:tcPr>
          <w:p>
            <w:pPr>
              <w:jc w:val="right"/>
              <w:ind w:right="179"/>
              <w:spacing w:after="0" w:line="126" w:lineRule="exact"/>
              <w:rPr>
                <w:sz w:val="20"/>
                <w:szCs w:val="20"/>
                <w:color w:val="auto"/>
              </w:rPr>
            </w:pPr>
            <w:r>
              <w:rPr>
                <w:rFonts w:ascii="Arial" w:cs="Arial" w:eastAsia="Arial" w:hAnsi="Arial"/>
                <w:sz w:val="13"/>
                <w:szCs w:val="13"/>
                <w:color w:val="0000FF"/>
              </w:rPr>
              <w:t>01/06/2020</w:t>
            </w: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60" w:type="dxa"/>
            <w:vAlign w:val="bottom"/>
            <w:vMerge w:val="restart"/>
          </w:tcPr>
          <w:p>
            <w:pPr>
              <w:jc w:val="right"/>
              <w:ind w:right="41"/>
              <w:spacing w:after="0" w:line="126" w:lineRule="exact"/>
              <w:rPr>
                <w:sz w:val="20"/>
                <w:szCs w:val="20"/>
                <w:color w:val="auto"/>
              </w:rPr>
            </w:pPr>
            <w:r>
              <w:rPr>
                <w:rFonts w:ascii="Arial" w:cs="Arial" w:eastAsia="Arial" w:hAnsi="Arial"/>
                <w:sz w:val="13"/>
                <w:szCs w:val="13"/>
                <w:color w:val="0000FF"/>
              </w:rPr>
              <w:t>1,448,524</w:t>
            </w: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40" w:type="dxa"/>
            <w:vAlign w:val="bottom"/>
            <w:gridSpan w:val="2"/>
            <w:vMerge w:val="restart"/>
          </w:tcPr>
          <w:p>
            <w:pPr>
              <w:ind w:left="40"/>
              <w:spacing w:after="0" w:line="126" w:lineRule="exact"/>
              <w:rPr>
                <w:sz w:val="20"/>
                <w:szCs w:val="20"/>
                <w:color w:val="auto"/>
              </w:rPr>
            </w:pPr>
            <w:r>
              <w:rPr>
                <w:rFonts w:ascii="Arial" w:cs="Arial" w:eastAsia="Arial" w:hAnsi="Arial"/>
                <w:sz w:val="13"/>
                <w:szCs w:val="13"/>
                <w:color w:val="0000FF"/>
              </w:rPr>
              <w:t>Common</w:t>
            </w:r>
          </w:p>
        </w:tc>
        <w:tc>
          <w:tcPr>
            <w:tcW w:w="7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vMerge w:val="restart"/>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jc w:val="right"/>
              <w:ind w:right="82"/>
              <w:spacing w:after="0" w:line="126" w:lineRule="exact"/>
              <w:rPr>
                <w:sz w:val="20"/>
                <w:szCs w:val="20"/>
                <w:color w:val="auto"/>
              </w:rPr>
            </w:pPr>
            <w:r>
              <w:rPr>
                <w:rFonts w:ascii="Arial" w:cs="Arial" w:eastAsia="Arial" w:hAnsi="Arial"/>
                <w:sz w:val="13"/>
                <w:szCs w:val="13"/>
                <w:color w:val="0000FF"/>
              </w:rPr>
              <w:t>24,169,692</w:t>
            </w:r>
          </w:p>
        </w:tc>
        <w:tc>
          <w:tcPr>
            <w:tcW w:w="640" w:type="dxa"/>
            <w:vAlign w:val="bottom"/>
            <w:vMerge w:val="restart"/>
          </w:tcPr>
          <w:p>
            <w:pPr>
              <w:ind w:left="380"/>
              <w:spacing w:after="0" w:line="126" w:lineRule="exact"/>
              <w:rPr>
                <w:sz w:val="20"/>
                <w:szCs w:val="20"/>
                <w:color w:val="auto"/>
              </w:rPr>
            </w:pPr>
            <w:r>
              <w:rPr>
                <w:rFonts w:ascii="Arial" w:cs="Arial" w:eastAsia="Arial" w:hAnsi="Arial"/>
                <w:sz w:val="13"/>
                <w:szCs w:val="13"/>
                <w:color w:val="0000FF"/>
              </w:rPr>
              <w:t>I</w:t>
            </w:r>
          </w:p>
        </w:tc>
        <w:tc>
          <w:tcPr>
            <w:tcW w:w="14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ind w:left="500"/>
              <w:spacing w:after="0" w:line="79" w:lineRule="exact"/>
              <w:rPr>
                <w:sz w:val="20"/>
                <w:szCs w:val="20"/>
                <w:color w:val="auto"/>
              </w:rPr>
            </w:pPr>
            <w:r>
              <w:rPr>
                <w:rFonts w:ascii="Arial" w:cs="Arial" w:eastAsia="Arial" w:hAnsi="Arial"/>
                <w:sz w:val="9"/>
                <w:szCs w:val="9"/>
                <w:color w:val="008000"/>
              </w:rPr>
              <w:t>(3)</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gridSpan w:val="2"/>
            <w:vMerge w:val="restart"/>
          </w:tcPr>
          <w:p>
            <w:pPr>
              <w:jc w:val="center"/>
              <w:ind w:right="23"/>
              <w:spacing w:after="0"/>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1"/>
                <w:szCs w:val="11"/>
                <w:color w:val="008000"/>
              </w:rPr>
              <w:t>(4)(5)</w:t>
            </w:r>
          </w:p>
        </w:tc>
        <w:tc>
          <w:tcPr>
            <w:tcW w:w="106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(8)</w:t>
            </w:r>
          </w:p>
        </w:tc>
        <w:tc>
          <w:tcPr>
            <w:tcW w:w="720" w:type="dxa"/>
            <w:vAlign w:val="bottom"/>
            <w:vMerge w:val="restart"/>
          </w:tcPr>
          <w:p>
            <w:pPr>
              <w:jc w:val="center"/>
              <w:ind w:right="12"/>
              <w:spacing w:after="0"/>
              <w:rPr>
                <w:sz w:val="20"/>
                <w:szCs w:val="20"/>
                <w:color w:val="auto"/>
              </w:rPr>
            </w:pPr>
            <w:r>
              <w:rPr>
                <w:rFonts w:ascii="Arial" w:cs="Arial" w:eastAsia="Arial" w:hAnsi="Arial"/>
                <w:sz w:val="11"/>
                <w:szCs w:val="11"/>
                <w:color w:val="008000"/>
                <w:w w:val="88"/>
              </w:rPr>
              <w:t>(8)</w:t>
            </w:r>
          </w:p>
        </w:tc>
        <w:tc>
          <w:tcPr>
            <w:tcW w:w="640" w:type="dxa"/>
            <w:vAlign w:val="bottom"/>
            <w:gridSpan w:val="2"/>
          </w:tcPr>
          <w:p>
            <w:pPr>
              <w:jc w:val="center"/>
              <w:ind w:right="3"/>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jc w:val="right"/>
              <w:ind w:right="45"/>
              <w:spacing w:after="0"/>
              <w:rPr>
                <w:sz w:val="20"/>
                <w:szCs w:val="20"/>
                <w:color w:val="auto"/>
              </w:rPr>
            </w:pPr>
            <w:r>
              <w:rPr>
                <w:rFonts w:ascii="Arial" w:cs="Arial" w:eastAsia="Arial" w:hAnsi="Arial"/>
                <w:sz w:val="17"/>
                <w:szCs w:val="17"/>
                <w:color w:val="0000FF"/>
                <w:w w:val="97"/>
              </w:rPr>
              <w:t>176,476</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line="126"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4"/>
                <w:szCs w:val="4"/>
                <w:color w:val="auto"/>
              </w:rPr>
            </w:pPr>
          </w:p>
        </w:tc>
        <w:tc>
          <w:tcPr>
            <w:tcW w:w="1100" w:type="dxa"/>
            <w:vAlign w:val="bottom"/>
            <w:vMerge w:val="restart"/>
          </w:tcPr>
          <w:p>
            <w:pPr>
              <w:jc w:val="right"/>
              <w:ind w:right="179"/>
              <w:spacing w:after="0" w:line="126" w:lineRule="exact"/>
              <w:rPr>
                <w:sz w:val="20"/>
                <w:szCs w:val="20"/>
                <w:color w:val="auto"/>
              </w:rPr>
            </w:pPr>
            <w:r>
              <w:rPr>
                <w:rFonts w:ascii="Arial" w:cs="Arial" w:eastAsia="Arial" w:hAnsi="Arial"/>
                <w:sz w:val="13"/>
                <w:szCs w:val="13"/>
                <w:color w:val="0000FF"/>
              </w:rPr>
              <w:t>01/06/2020</w:t>
            </w: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60" w:type="dxa"/>
            <w:vAlign w:val="bottom"/>
            <w:vMerge w:val="restart"/>
          </w:tcPr>
          <w:p>
            <w:pPr>
              <w:jc w:val="right"/>
              <w:ind w:right="101"/>
              <w:spacing w:after="0" w:line="126" w:lineRule="exact"/>
              <w:rPr>
                <w:sz w:val="20"/>
                <w:szCs w:val="20"/>
                <w:color w:val="auto"/>
              </w:rPr>
            </w:pPr>
            <w:r>
              <w:rPr>
                <w:rFonts w:ascii="Arial" w:cs="Arial" w:eastAsia="Arial" w:hAnsi="Arial"/>
                <w:sz w:val="13"/>
                <w:szCs w:val="13"/>
                <w:color w:val="0000FF"/>
              </w:rPr>
              <w:t>176,476</w:t>
            </w: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40" w:type="dxa"/>
            <w:vAlign w:val="bottom"/>
            <w:gridSpan w:val="2"/>
            <w:vMerge w:val="restart"/>
          </w:tcPr>
          <w:p>
            <w:pPr>
              <w:ind w:left="40"/>
              <w:spacing w:after="0" w:line="126" w:lineRule="exact"/>
              <w:rPr>
                <w:sz w:val="20"/>
                <w:szCs w:val="20"/>
                <w:color w:val="auto"/>
              </w:rPr>
            </w:pPr>
            <w:r>
              <w:rPr>
                <w:rFonts w:ascii="Arial" w:cs="Arial" w:eastAsia="Arial" w:hAnsi="Arial"/>
                <w:sz w:val="13"/>
                <w:szCs w:val="13"/>
                <w:color w:val="0000FF"/>
              </w:rPr>
              <w:t>Common</w:t>
            </w:r>
          </w:p>
        </w:tc>
        <w:tc>
          <w:tcPr>
            <w:tcW w:w="7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vMerge w:val="restart"/>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40" w:type="dxa"/>
            <w:vAlign w:val="bottom"/>
            <w:gridSpan w:val="2"/>
            <w:vMerge w:val="restart"/>
          </w:tcPr>
          <w:p>
            <w:pPr>
              <w:jc w:val="right"/>
              <w:ind w:right="102"/>
              <w:spacing w:after="0" w:line="126" w:lineRule="exact"/>
              <w:rPr>
                <w:sz w:val="20"/>
                <w:szCs w:val="20"/>
                <w:color w:val="auto"/>
              </w:rPr>
            </w:pPr>
            <w:r>
              <w:rPr>
                <w:rFonts w:ascii="Arial" w:cs="Arial" w:eastAsia="Arial" w:hAnsi="Arial"/>
                <w:sz w:val="13"/>
                <w:szCs w:val="13"/>
                <w:color w:val="0000FF"/>
              </w:rPr>
              <w:t>2,944,133</w:t>
            </w:r>
          </w:p>
        </w:tc>
        <w:tc>
          <w:tcPr>
            <w:tcW w:w="640" w:type="dxa"/>
            <w:vAlign w:val="bottom"/>
            <w:vMerge w:val="restart"/>
          </w:tcPr>
          <w:p>
            <w:pPr>
              <w:ind w:left="380"/>
              <w:spacing w:after="0" w:line="126" w:lineRule="exact"/>
              <w:rPr>
                <w:sz w:val="20"/>
                <w:szCs w:val="20"/>
                <w:color w:val="auto"/>
              </w:rPr>
            </w:pPr>
            <w:r>
              <w:rPr>
                <w:rFonts w:ascii="Arial" w:cs="Arial" w:eastAsia="Arial" w:hAnsi="Arial"/>
                <w:sz w:val="13"/>
                <w:szCs w:val="13"/>
                <w:color w:val="0000FF"/>
              </w:rPr>
              <w:t>I</w:t>
            </w:r>
          </w:p>
        </w:tc>
        <w:tc>
          <w:tcPr>
            <w:tcW w:w="14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ind w:left="500"/>
              <w:spacing w:after="0" w:line="79" w:lineRule="exact"/>
              <w:rPr>
                <w:sz w:val="20"/>
                <w:szCs w:val="20"/>
                <w:color w:val="auto"/>
              </w:rPr>
            </w:pPr>
            <w:r>
              <w:rPr>
                <w:rFonts w:ascii="Arial" w:cs="Arial" w:eastAsia="Arial" w:hAnsi="Arial"/>
                <w:sz w:val="9"/>
                <w:szCs w:val="9"/>
                <w:color w:val="008000"/>
              </w:rPr>
              <w:t>(6)</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gridSpan w:val="2"/>
            <w:vMerge w:val="restart"/>
          </w:tcPr>
          <w:p>
            <w:pPr>
              <w:jc w:val="center"/>
              <w:ind w:right="23"/>
              <w:spacing w:after="0"/>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220" w:firstLine="2"/>
        <w:spacing w:after="0" w:line="237"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6, 2020, Emergence Capital Partners III, L.P. ("Emergence") converted in the aggregate 1,448,524 shares of the Issuer's Class B Common Stock into 1,448,524 shares of the Issuer's Class A Common Stock. Subsequently on the same date, Emergence distributed in-kind, without consideration, all 1,448,524 shares of Class A Common Stock pro-rata to its partners, including its limited partners and its general partner, Emergence Equity Partners III, L.P. ("EEP III"), in accordance with the exemption under Rule 16a-9(a) and Rule 16a-13 of the Securities Exchange Act of 1934, as amended. Of the distributed shares, 1,002,824 shares were distributed pursuant to a 10b5-1 plan adopted by Emergence on September 27, 2019.</w:t>
      </w:r>
    </w:p>
    <w:p>
      <w:pPr>
        <w:spacing w:after="0" w:line="31" w:lineRule="exact"/>
        <w:rPr>
          <w:rFonts w:ascii="Arial" w:cs="Arial" w:eastAsia="Arial" w:hAnsi="Arial"/>
          <w:sz w:val="13"/>
          <w:szCs w:val="13"/>
          <w:color w:val="008000"/>
        </w:rPr>
      </w:pPr>
    </w:p>
    <w:p>
      <w:pPr>
        <w:ind w:left="40" w:right="360" w:firstLine="2"/>
        <w:spacing w:after="0" w:line="250"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1) Upon receipt by EEP III of its pro rata interest of the distribution (142,983 of Class A Common Stock), EEP III distributed in-kind, without consideration, all such shares pro-rata to its limited partners in accordance with the exemption under Rule 16a-9(a) and Rule 16a-13 of the Securities Exchange Act of 1934, as amended.</w:t>
      </w:r>
    </w:p>
    <w:p>
      <w:pPr>
        <w:spacing w:after="0" w:line="25" w:lineRule="exact"/>
        <w:rPr>
          <w:rFonts w:ascii="Arial" w:cs="Arial" w:eastAsia="Arial" w:hAnsi="Arial"/>
          <w:sz w:val="13"/>
          <w:szCs w:val="13"/>
          <w:color w:val="008000"/>
        </w:rPr>
      </w:pPr>
    </w:p>
    <w:p>
      <w:pPr>
        <w:ind w:left="40" w:right="180" w:firstLine="2"/>
        <w:spacing w:after="0" w:line="239"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directly by Emergence. The sole general partner of Emergence is EEP III, and the sole general partner of EEP III is Emergence GP Partners, LLC ("EGP"). The Reporting Person is a member of EEP III. The Reporting Person disclaims Section 16 beneficial ownership of the shares held by Emergence, except to the extent, if any, of his pecuniary interest therein, and this report shall not be deemed an admission that he is the beneficial owner of such shares for Section 16 or any other purpose.</w:t>
      </w:r>
    </w:p>
    <w:p>
      <w:pPr>
        <w:spacing w:after="0" w:line="32" w:lineRule="exact"/>
        <w:rPr>
          <w:rFonts w:ascii="Arial" w:cs="Arial" w:eastAsia="Arial" w:hAnsi="Arial"/>
          <w:sz w:val="13"/>
          <w:szCs w:val="13"/>
          <w:color w:val="008000"/>
        </w:rPr>
      </w:pPr>
    </w:p>
    <w:p>
      <w:pPr>
        <w:ind w:left="40" w:right="200" w:firstLine="2"/>
        <w:spacing w:after="0" w:line="303"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January 6, 2020, EZP converted in the aggregate 176,476 shares of the Issuer's Class B Common Stock into 176,476 shares of the Issuer's Class A Common Stock. Subsequently on the same date, EZP distributed in-kind, without consideration, all 176,476 shares of Class A Common Stock pro-rata to its limited partners and its general partner, Emergence Equity Partners III, L.P. ("EEP III") in accordance with the exemption under Rule 16a-9(a) and Rule 16a-13 of the Securities Exchange Act of 1934, as amended. Of the distributed shares, 122,176 shares were distributed pursuant to a 10b5-1 plan adopted by EZP on September 27, 2019.</w:t>
      </w:r>
    </w:p>
    <w:p>
      <w:pPr>
        <w:ind w:left="40" w:right="220" w:firstLine="2"/>
        <w:spacing w:after="0" w:line="250"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4) Upon receipt by EEP III of its pro rata interest of the distribution (19,973 shares of Class A Common Stock), EEP III distributed in-kind, without consideration, all such shares pro-rata to its limited partners in accordance with the exemption under Rule 16a-9(a) and Rule 16a-13 of the Securities Exchange Act of 1934, as amended.</w:t>
      </w:r>
    </w:p>
    <w:p>
      <w:pPr>
        <w:spacing w:after="0" w:line="25" w:lineRule="exact"/>
        <w:rPr>
          <w:rFonts w:ascii="Arial" w:cs="Arial" w:eastAsia="Arial" w:hAnsi="Arial"/>
          <w:sz w:val="13"/>
          <w:szCs w:val="13"/>
          <w:color w:val="008000"/>
        </w:rPr>
      </w:pPr>
    </w:p>
    <w:p>
      <w:pPr>
        <w:ind w:left="40" w:right="400" w:firstLine="2"/>
        <w:spacing w:after="0" w:line="291"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directly by EZP. The sole general partner of EZP is EEP III, and the sole general partner of EEP III is EGP. The Reporting Person disclaims Section 16 beneficial ownership of the shares held by EZP, except to the extent, if any, of his pecuniary interest therein, and this report shall not be deemed an admission that he is the beneficial owner of such shares for Section 16 or any other purpose.</w:t>
      </w:r>
    </w:p>
    <w:p>
      <w:pPr>
        <w:spacing w:after="0" w:line="2"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receipt of shares of Class A Common Stock of the Issuer by virtue of the pro rata distributions described above.</w:t>
      </w:r>
    </w:p>
    <w:p>
      <w:pPr>
        <w:spacing w:after="0" w:line="44" w:lineRule="exact"/>
        <w:rPr>
          <w:rFonts w:ascii="Arial" w:cs="Arial" w:eastAsia="Arial" w:hAnsi="Arial"/>
          <w:sz w:val="13"/>
          <w:szCs w:val="13"/>
          <w:color w:val="008000"/>
        </w:rPr>
      </w:pPr>
    </w:p>
    <w:p>
      <w:pPr>
        <w:ind w:left="40" w:right="140" w:firstLine="2"/>
        <w:spacing w:after="0" w:line="235"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Emergence and EZP, as applicable, into one share of Class A Common Stock and has no expiration date. Each share of Class B Common Stock held by Emergence and EZP, as applicable, will automatically convert into one share of Class A Common Stock upon any transfer by Emergence and EZP, as applicable,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01/08/2020</w:t>
            </w:r>
          </w:p>
        </w:tc>
        <w:tc>
          <w:tcPr>
            <w:tcW w:w="0" w:type="dxa"/>
            <w:vAlign w:val="bottom"/>
          </w:tcPr>
          <w:p>
            <w:pPr>
              <w:spacing w:after="0"/>
              <w:rPr>
                <w:sz w:val="1"/>
                <w:szCs w:val="1"/>
                <w:color w:val="auto"/>
              </w:rPr>
            </w:pPr>
          </w:p>
        </w:tc>
      </w:tr>
      <w:tr>
        <w:trPr>
          <w:trHeight w:val="89"/>
        </w:trPr>
        <w:tc>
          <w:tcPr>
            <w:tcW w:w="300" w:type="dxa"/>
            <w:vAlign w:val="bottom"/>
            <w:vMerge w:val="restart"/>
          </w:tcPr>
          <w:p>
            <w:pPr>
              <w:spacing w:after="0" w:line="187" w:lineRule="exact"/>
              <w:rPr>
                <w:sz w:val="20"/>
                <w:szCs w:val="20"/>
                <w:color w:val="auto"/>
              </w:rPr>
            </w:pPr>
            <w:r>
              <w:rPr>
                <w:rFonts w:ascii="Arial" w:cs="Arial" w:eastAsia="Arial" w:hAnsi="Arial"/>
                <w:sz w:val="17"/>
                <w:szCs w:val="17"/>
                <w:color w:val="0000FF"/>
                <w:w w:val="84"/>
              </w:rPr>
              <w:t>Fact</w:t>
            </w:r>
          </w:p>
        </w:tc>
        <w:tc>
          <w:tcPr>
            <w:tcW w:w="20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20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94" w:orient="portrait"/>
          <w:cols w:equalWidth="0" w:num="1">
            <w:col w:w="11520"/>
          </w:cols>
          <w:pgMar w:left="240" w:top="222" w:right="139" w:bottom="0" w:gutter="0" w:footer="0" w:header="0"/>
          <w:type w:val="continuous"/>
        </w:sectPr>
      </w:pPr>
    </w:p>
    <w:bookmarkStart w:id="1" w:name="page2"/>
    <w:bookmarkEnd w:id="1"/>
    <w:p>
      <w:pPr>
        <w:jc w:val="both"/>
        <w:ind w:right="2699" w:firstLine="2"/>
        <w:spacing w:after="0" w:line="336"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2020-01-08T17:42:45Z</dcterms:created>
  <dcterms:modified xsi:type="dcterms:W3CDTF">2020-01-08T17:42:45Z</dcterms:modified>
</cp:coreProperties>
</file>