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Swanson Bart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00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30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80" w:type="dxa"/>
            <w:vAlign w:val="bottom"/>
          </w:tcPr>
          <w:p>
            <w:pPr>
              <w:spacing w:after="0"/>
              <w:rPr>
                <w:sz w:val="5"/>
                <w:szCs w:val="5"/>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1860" w:type="dxa"/>
            <w:vAlign w:val="bottom"/>
          </w:tcPr>
          <w:p>
            <w:pPr>
              <w:ind w:left="600"/>
              <w:spacing w:after="0" w:line="12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080" w:type="dxa"/>
            <w:vAlign w:val="bottom"/>
            <w:gridSpan w:val="2"/>
          </w:tcPr>
          <w:p>
            <w:pPr>
              <w:ind w:left="80"/>
              <w:spacing w:after="0"/>
              <w:rPr>
                <w:sz w:val="20"/>
                <w:szCs w:val="20"/>
                <w:color w:val="auto"/>
              </w:rPr>
            </w:pPr>
            <w:r>
              <w:rPr>
                <w:rFonts w:ascii="Arial" w:cs="Arial" w:eastAsia="Arial" w:hAnsi="Arial"/>
                <w:sz w:val="17"/>
                <w:szCs w:val="17"/>
                <w:color w:val="0000FF"/>
              </w:rPr>
              <w:t>06/09/2020</w:t>
            </w:r>
          </w:p>
        </w:tc>
        <w:tc>
          <w:tcPr>
            <w:tcW w:w="7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80" w:type="dxa"/>
            <w:vAlign w:val="bottom"/>
            <w:tcBorders>
              <w:bottom w:val="single" w:sz="8" w:color="2C2C2C"/>
            </w:tcBorders>
          </w:tcPr>
          <w:p>
            <w:pPr>
              <w:spacing w:after="0"/>
              <w:rPr>
                <w:sz w:val="23"/>
                <w:szCs w:val="23"/>
                <w:color w:val="auto"/>
              </w:rPr>
            </w:pPr>
          </w:p>
        </w:tc>
        <w:tc>
          <w:tcPr>
            <w:tcW w:w="30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33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3080" w:type="dxa"/>
            <w:vAlign w:val="bottom"/>
            <w:gridSpan w:val="2"/>
          </w:tcPr>
          <w:p>
            <w:pPr>
              <w:ind w:left="80"/>
              <w:spacing w:after="0" w:line="187" w:lineRule="exact"/>
              <w:rPr>
                <w:sz w:val="20"/>
                <w:szCs w:val="20"/>
                <w:color w:val="auto"/>
              </w:rPr>
            </w:pPr>
            <w:r>
              <w:rPr>
                <w:rFonts w:ascii="Arial" w:cs="Arial" w:eastAsia="Arial" w:hAnsi="Arial"/>
                <w:sz w:val="17"/>
                <w:szCs w:val="17"/>
                <w:color w:val="0000FF"/>
              </w:rPr>
              <w:t>03/06/2021</w:t>
            </w:r>
          </w:p>
        </w:tc>
        <w:tc>
          <w:tcPr>
            <w:tcW w:w="740" w:type="dxa"/>
            <w:vAlign w:val="bottom"/>
          </w:tcPr>
          <w:p>
            <w:pPr>
              <w:spacing w:after="0"/>
              <w:rPr>
                <w:sz w:val="16"/>
                <w:szCs w:val="16"/>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300" w:type="dxa"/>
            <w:vAlign w:val="bottom"/>
            <w:gridSpan w:val="2"/>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5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8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(1)</w:t>
            </w:r>
          </w:p>
        </w:tc>
        <w:tc>
          <w:tcPr>
            <w:tcW w:w="160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06/09/2020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(1)(2)</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9,073</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94,981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original Form 4 filed on March 3, 2021 to report the pro rata distribution from Beyond Merits Limited on June 9, 2020 incorrectly reported a distribution of 9,073 shares of Class B Common Stock rather than Class A Common Stock to the Reporting Person. This amendment is filed to correct the class of common stock and end of period holdings owned directly by the reporting person as of June 9, 2020. Subsequent Form 4s filed after such date should have reported the securities beneficially owned as Class A Common Stock.</w:t>
      </w:r>
    </w:p>
    <w:p>
      <w:pPr>
        <w:spacing w:after="0" w:line="25" w:lineRule="exact"/>
        <w:rPr>
          <w:rFonts w:ascii="Arial" w:cs="Arial" w:eastAsia="Arial" w:hAnsi="Arial"/>
          <w:sz w:val="13"/>
          <w:szCs w:val="13"/>
          <w:color w:val="008000"/>
        </w:rPr>
      </w:pPr>
    </w:p>
    <w:p>
      <w:pPr>
        <w:ind w:left="40" w:right="2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pro rata distribution from Beyond Merits Limited. The Reporting Person is no longer a director of Beyond Merits Limited, and as such, no longer shares voting or investment control with respect to the shares held of record by Beyond Merits Limited.</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Aparna Bawa, Attorney-in- </w:t>
      </w:r>
      <w:r>
        <w:rPr>
          <w:rFonts w:ascii="Arial" w:cs="Arial" w:eastAsia="Arial" w:hAnsi="Arial"/>
          <w:sz w:val="34"/>
          <w:szCs w:val="34"/>
          <w:color w:val="0000FF"/>
          <w:vertAlign w:val="subscript"/>
        </w:rPr>
        <w:t>04/22/2021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330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2021-04-22T17:39:49Z</dcterms:created>
  <dcterms:modified xsi:type="dcterms:W3CDTF">2021-04-22T17:39:49Z</dcterms:modified>
</cp:coreProperties>
</file>