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-233680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-608965</wp:posOffset>
            </wp:positionV>
            <wp:extent cx="8255" cy="6096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4006215</wp:posOffset>
            </wp:positionH>
            <wp:positionV relativeFrom="paragraph">
              <wp:posOffset>-617220</wp:posOffset>
            </wp:positionV>
            <wp:extent cx="8255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4030980</wp:posOffset>
            </wp:positionH>
            <wp:positionV relativeFrom="paragraph">
              <wp:posOffset>-592455</wp:posOffset>
            </wp:positionV>
            <wp:extent cx="1268095" cy="568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6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45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259715</wp:posOffset>
            </wp:positionV>
            <wp:extent cx="6967220" cy="1095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06/17/2020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118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-2411730</wp:posOffset>
            </wp:positionV>
            <wp:extent cx="7033260" cy="24542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5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an award of restricted stock units all of which will vest on June 17,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3175</wp:posOffset>
            </wp:positionV>
            <wp:extent cx="1302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1841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3175</wp:posOffset>
            </wp:positionV>
            <wp:extent cx="48768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1490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2020-06-19T17:36:33Z</dcterms:created>
  <dcterms:modified xsi:type="dcterms:W3CDTF">2020-06-19T17:36:33Z</dcterms:modified>
</cp:coreProperties>
</file>