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Zoom Video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Class A Common Stock, par value of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98980L101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100" w:firstLine="70"/>
        <w:spacing w:after="0" w:line="253" w:lineRule="exact"/>
        <w:tabs>
          <w:tab w:leader="none" w:pos="103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5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240" w:top="231"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6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98980L101</w:t>
            </w:r>
          </w:p>
        </w:tc>
        <w:tc>
          <w:tcPr>
            <w:tcW w:w="6420" w:type="dxa"/>
            <w:vAlign w:val="bottom"/>
          </w:tcPr>
          <w:p>
            <w:pPr>
              <w:ind w:left="3700"/>
              <w:spacing w:after="0"/>
              <w:rPr>
                <w:sz w:val="20"/>
                <w:szCs w:val="20"/>
                <w:color w:val="auto"/>
              </w:rPr>
            </w:pPr>
            <w:r>
              <w:rPr>
                <w:rFonts w:ascii="Arial" w:cs="Arial" w:eastAsia="Arial" w:hAnsi="Arial"/>
                <w:sz w:val="18"/>
                <w:szCs w:val="18"/>
                <w:b w:val="1"/>
                <w:bCs w:val="1"/>
                <w:color w:val="auto"/>
              </w:rPr>
              <w:t>13G</w:t>
            </w:r>
          </w:p>
        </w:tc>
        <w:tc>
          <w:tcPr>
            <w:tcW w:w="3140" w:type="dxa"/>
            <w:vAlign w:val="bottom"/>
          </w:tcPr>
          <w:p>
            <w:pPr>
              <w:ind w:left="1820"/>
              <w:spacing w:after="0"/>
              <w:rPr>
                <w:sz w:val="20"/>
                <w:szCs w:val="20"/>
                <w:color w:val="auto"/>
              </w:rPr>
            </w:pPr>
            <w:r>
              <w:rPr>
                <w:rFonts w:ascii="Arial" w:cs="Arial" w:eastAsia="Arial" w:hAnsi="Arial"/>
                <w:sz w:val="18"/>
                <w:szCs w:val="18"/>
                <w:b w:val="1"/>
                <w:bCs w:val="1"/>
                <w:color w:val="auto"/>
                <w:w w:val="84"/>
              </w:rPr>
              <w:t>Page 2 of 5 Pages</w:t>
            </w:r>
          </w:p>
        </w:tc>
        <w:tc>
          <w:tcPr>
            <w:tcW w:w="0" w:type="dxa"/>
            <w:vAlign w:val="bottom"/>
          </w:tcPr>
          <w:p>
            <w:pPr>
              <w:spacing w:after="0"/>
              <w:rPr>
                <w:sz w:val="1"/>
                <w:szCs w:val="1"/>
                <w:color w:val="auto"/>
              </w:rPr>
            </w:pPr>
          </w:p>
        </w:tc>
      </w:tr>
      <w:tr>
        <w:trPr>
          <w:trHeight w:val="338"/>
        </w:trPr>
        <w:tc>
          <w:tcPr>
            <w:tcW w:w="186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420" w:type="dxa"/>
            <w:vAlign w:val="bottom"/>
          </w:tcPr>
          <w:p>
            <w:pPr>
              <w:ind w:left="100"/>
              <w:spacing w:after="0"/>
              <w:rPr>
                <w:sz w:val="20"/>
                <w:szCs w:val="20"/>
                <w:color w:val="auto"/>
              </w:rPr>
            </w:pPr>
            <w:r>
              <w:rPr>
                <w:rFonts w:ascii="Arial" w:cs="Arial" w:eastAsia="Arial" w:hAnsi="Arial"/>
                <w:sz w:val="16"/>
                <w:szCs w:val="16"/>
                <w:color w:val="auto"/>
              </w:rPr>
              <w:t>NAME OF REPORTING PERSON</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6420" w:type="dxa"/>
            <w:vAlign w:val="bottom"/>
            <w:vMerge w:val="restart"/>
          </w:tcPr>
          <w:p>
            <w:pPr>
              <w:ind w:left="100"/>
              <w:spacing w:after="0"/>
              <w:rPr>
                <w:sz w:val="20"/>
                <w:szCs w:val="20"/>
                <w:color w:val="auto"/>
              </w:rPr>
            </w:pPr>
            <w:r>
              <w:rPr>
                <w:rFonts w:ascii="Arial" w:cs="Arial" w:eastAsia="Arial" w:hAnsi="Arial"/>
                <w:sz w:val="20"/>
                <w:szCs w:val="20"/>
                <w:color w:val="auto"/>
              </w:rPr>
              <w:t>Hillhouse Capital Management, Ltd.</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6420" w:type="dxa"/>
            <w:vAlign w:val="bottom"/>
            <w:vMerge w:val="continue"/>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42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60" w:type="dxa"/>
            <w:vAlign w:val="bottom"/>
            <w:vMerge w:val="continue"/>
          </w:tcPr>
          <w:p>
            <w:pPr>
              <w:spacing w:after="0"/>
              <w:rPr>
                <w:sz w:val="7"/>
                <w:szCs w:val="7"/>
                <w:color w:val="auto"/>
              </w:rPr>
            </w:pPr>
          </w:p>
        </w:tc>
        <w:tc>
          <w:tcPr>
            <w:tcW w:w="642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14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460" w:type="dxa"/>
            <w:vAlign w:val="bottom"/>
            <w:gridSpan w:val="2"/>
            <w:vMerge w:val="restart"/>
          </w:tcPr>
          <w:p>
            <w:pPr>
              <w:ind w:left="460"/>
              <w:spacing w:after="0"/>
              <w:rPr>
                <w:sz w:val="20"/>
                <w:szCs w:val="20"/>
                <w:color w:val="auto"/>
              </w:rPr>
            </w:pPr>
            <w:r>
              <w:rPr>
                <w:rFonts w:ascii="Arial" w:cs="Arial" w:eastAsia="Arial" w:hAnsi="Arial"/>
                <w:sz w:val="20"/>
                <w:szCs w:val="20"/>
                <w:color w:val="auto"/>
              </w:rPr>
              <w:t>Cayman Islands</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460" w:type="dxa"/>
            <w:vAlign w:val="bottom"/>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10,945,593 shares of Class A Common Stock</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10,945,593 shares of Class A Common Stock</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460" w:type="dxa"/>
            <w:vAlign w:val="bottom"/>
            <w:gridSpan w:val="2"/>
            <w:vMerge w:val="restart"/>
          </w:tcPr>
          <w:p>
            <w:pPr>
              <w:ind w:left="460"/>
              <w:spacing w:after="0"/>
              <w:rPr>
                <w:sz w:val="20"/>
                <w:szCs w:val="20"/>
                <w:color w:val="auto"/>
              </w:rPr>
            </w:pPr>
            <w:r>
              <w:rPr>
                <w:rFonts w:ascii="Arial" w:cs="Arial" w:eastAsia="Arial" w:hAnsi="Arial"/>
                <w:sz w:val="20"/>
                <w:szCs w:val="20"/>
                <w:color w:val="auto"/>
              </w:rPr>
              <w:t>10,945,593 shares of Class A Common Stock</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460" w:type="dxa"/>
            <w:vAlign w:val="bottom"/>
            <w:gridSpan w:val="2"/>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9.1%</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IA</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98980L101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5 Pages</w:t>
      </w:r>
    </w:p>
    <w:p>
      <w:pPr>
        <w:sectPr>
          <w:pgSz w:w="11900" w:h="16838" w:orient="portrait"/>
          <w:cols w:equalWidth="0" w:num="1">
            <w:col w:w="11420"/>
          </w:cols>
          <w:pgMar w:left="240" w:top="229" w:right="239" w:bottom="1440" w:gutter="0" w:footer="0" w:header="0"/>
        </w:sect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172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500" w:type="dxa"/>
            <w:vAlign w:val="bottom"/>
            <w:gridSpan w:val="13"/>
          </w:tcPr>
          <w:p>
            <w:pPr>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720" w:type="dxa"/>
            <w:vAlign w:val="bottom"/>
          </w:tcPr>
          <w:p>
            <w:pPr>
              <w:spacing w:after="0"/>
              <w:rPr>
                <w:sz w:val="17"/>
                <w:szCs w:val="17"/>
                <w:color w:val="auto"/>
              </w:rPr>
            </w:pPr>
          </w:p>
        </w:tc>
        <w:tc>
          <w:tcPr>
            <w:tcW w:w="9500" w:type="dxa"/>
            <w:vAlign w:val="bottom"/>
            <w:gridSpan w:val="13"/>
          </w:tcPr>
          <w:p>
            <w:pPr>
              <w:spacing w:after="0" w:line="206" w:lineRule="exact"/>
              <w:rPr>
                <w:sz w:val="20"/>
                <w:szCs w:val="20"/>
                <w:color w:val="auto"/>
              </w:rPr>
            </w:pPr>
            <w:r>
              <w:rPr>
                <w:rFonts w:ascii="Arial" w:cs="Arial" w:eastAsia="Arial" w:hAnsi="Arial"/>
                <w:sz w:val="20"/>
                <w:szCs w:val="20"/>
                <w:color w:val="auto"/>
              </w:rPr>
              <w:t>The name of the issuer is Zoom Video Communications, Inc. (the "Company").</w:t>
            </w:r>
          </w:p>
        </w:tc>
      </w:tr>
      <w:tr>
        <w:trPr>
          <w:trHeight w:val="20"/>
        </w:trPr>
        <w:tc>
          <w:tcPr>
            <w:tcW w:w="17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63"/>
        </w:trPr>
        <w:tc>
          <w:tcPr>
            <w:tcW w:w="172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500" w:type="dxa"/>
            <w:vAlign w:val="bottom"/>
            <w:gridSpan w:val="13"/>
          </w:tcPr>
          <w:p>
            <w:pPr>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50"/>
        </w:trPr>
        <w:tc>
          <w:tcPr>
            <w:tcW w:w="1720" w:type="dxa"/>
            <w:vAlign w:val="bottom"/>
          </w:tcPr>
          <w:p>
            <w:pPr>
              <w:spacing w:after="0"/>
              <w:rPr>
                <w:sz w:val="21"/>
                <w:szCs w:val="21"/>
                <w:color w:val="auto"/>
              </w:rPr>
            </w:pPr>
          </w:p>
        </w:tc>
        <w:tc>
          <w:tcPr>
            <w:tcW w:w="9500" w:type="dxa"/>
            <w:vAlign w:val="bottom"/>
            <w:gridSpan w:val="13"/>
          </w:tcPr>
          <w:p>
            <w:pPr>
              <w:spacing w:after="0"/>
              <w:rPr>
                <w:sz w:val="20"/>
                <w:szCs w:val="20"/>
                <w:color w:val="auto"/>
              </w:rPr>
            </w:pPr>
            <w:r>
              <w:rPr>
                <w:rFonts w:ascii="Arial" w:cs="Arial" w:eastAsia="Arial" w:hAnsi="Arial"/>
                <w:sz w:val="20"/>
                <w:szCs w:val="20"/>
                <w:color w:val="auto"/>
                <w:w w:val="92"/>
              </w:rPr>
              <w:t>The Company's principal executive office is located at 55 Almaden Boulevard, 6th Floor, San Jose, California 95113.</w:t>
            </w:r>
          </w:p>
        </w:tc>
      </w:tr>
      <w:tr>
        <w:trPr>
          <w:trHeight w:val="438"/>
        </w:trPr>
        <w:tc>
          <w:tcPr>
            <w:tcW w:w="172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500" w:type="dxa"/>
            <w:vAlign w:val="bottom"/>
            <w:gridSpan w:val="13"/>
          </w:tcPr>
          <w:p>
            <w:pPr>
              <w:spacing w:after="0"/>
              <w:rPr>
                <w:sz w:val="20"/>
                <w:szCs w:val="20"/>
                <w:color w:val="auto"/>
              </w:rPr>
            </w:pPr>
            <w:r>
              <w:rPr>
                <w:rFonts w:ascii="Arial" w:cs="Arial" w:eastAsia="Arial" w:hAnsi="Arial"/>
                <w:sz w:val="20"/>
                <w:szCs w:val="20"/>
                <w:b w:val="1"/>
                <w:bCs w:val="1"/>
                <w:color w:val="auto"/>
              </w:rPr>
              <w:t>NAME OF PERSON FILING</w:t>
            </w:r>
          </w:p>
        </w:tc>
      </w:tr>
      <w:tr>
        <w:trPr>
          <w:trHeight w:val="206"/>
        </w:trPr>
        <w:tc>
          <w:tcPr>
            <w:tcW w:w="1720" w:type="dxa"/>
            <w:vAlign w:val="bottom"/>
          </w:tcPr>
          <w:p>
            <w:pPr>
              <w:spacing w:after="0"/>
              <w:rPr>
                <w:sz w:val="17"/>
                <w:szCs w:val="17"/>
                <w:color w:val="auto"/>
              </w:rPr>
            </w:pPr>
          </w:p>
        </w:tc>
        <w:tc>
          <w:tcPr>
            <w:tcW w:w="9500" w:type="dxa"/>
            <w:vAlign w:val="bottom"/>
            <w:gridSpan w:val="13"/>
          </w:tcPr>
          <w:p>
            <w:pPr>
              <w:spacing w:after="0" w:line="206" w:lineRule="exact"/>
              <w:rPr>
                <w:sz w:val="20"/>
                <w:szCs w:val="20"/>
                <w:color w:val="auto"/>
              </w:rPr>
            </w:pPr>
            <w:r>
              <w:rPr>
                <w:rFonts w:ascii="Arial" w:cs="Arial" w:eastAsia="Arial" w:hAnsi="Arial"/>
                <w:sz w:val="20"/>
                <w:szCs w:val="20"/>
                <w:color w:val="auto"/>
                <w:w w:val="94"/>
              </w:rPr>
              <w:t>This statement is filed by Hillhouse Capital Management, Ltd., an exempted Cayman Islands company ("Hillhouse</w:t>
            </w:r>
          </w:p>
        </w:tc>
      </w:tr>
      <w:tr>
        <w:trPr>
          <w:trHeight w:val="20"/>
        </w:trPr>
        <w:tc>
          <w:tcPr>
            <w:tcW w:w="17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9500" w:type="dxa"/>
            <w:vAlign w:val="bottom"/>
            <w:gridSpan w:val="13"/>
          </w:tcPr>
          <w:p>
            <w:pPr>
              <w:spacing w:after="0" w:line="209" w:lineRule="exact"/>
              <w:rPr>
                <w:sz w:val="20"/>
                <w:szCs w:val="20"/>
                <w:color w:val="auto"/>
              </w:rPr>
            </w:pPr>
            <w:r>
              <w:rPr>
                <w:rFonts w:ascii="Arial" w:cs="Arial" w:eastAsia="Arial" w:hAnsi="Arial"/>
                <w:sz w:val="20"/>
                <w:szCs w:val="20"/>
                <w:color w:val="auto"/>
                <w:w w:val="95"/>
              </w:rPr>
              <w:t>Capital" or the "Reporting Person"), with respect to the shares of Class A Common Stock (as defined in Item 2(d)</w:t>
            </w:r>
          </w:p>
        </w:tc>
      </w:tr>
      <w:tr>
        <w:trPr>
          <w:trHeight w:val="20"/>
        </w:trPr>
        <w:tc>
          <w:tcPr>
            <w:tcW w:w="1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r>
      <w:tr>
        <w:trPr>
          <w:trHeight w:val="233"/>
        </w:trPr>
        <w:tc>
          <w:tcPr>
            <w:tcW w:w="1720" w:type="dxa"/>
            <w:vAlign w:val="bottom"/>
          </w:tcPr>
          <w:p>
            <w:pPr>
              <w:spacing w:after="0"/>
              <w:rPr>
                <w:sz w:val="20"/>
                <w:szCs w:val="20"/>
                <w:color w:val="auto"/>
              </w:rPr>
            </w:pPr>
          </w:p>
        </w:tc>
        <w:tc>
          <w:tcPr>
            <w:tcW w:w="9500" w:type="dxa"/>
            <w:vAlign w:val="bottom"/>
            <w:gridSpan w:val="13"/>
          </w:tcPr>
          <w:p>
            <w:pPr>
              <w:spacing w:after="0"/>
              <w:rPr>
                <w:sz w:val="20"/>
                <w:szCs w:val="20"/>
                <w:color w:val="auto"/>
              </w:rPr>
            </w:pPr>
            <w:r>
              <w:rPr>
                <w:rFonts w:ascii="Arial" w:cs="Arial" w:eastAsia="Arial" w:hAnsi="Arial"/>
                <w:sz w:val="20"/>
                <w:szCs w:val="20"/>
                <w:color w:val="auto"/>
                <w:w w:val="91"/>
              </w:rPr>
              <w:t>below) held by (and underlying shares of Class B Common Stock held by) certain funds and/or accounts managed by</w:t>
            </w:r>
          </w:p>
        </w:tc>
      </w:tr>
      <w:tr>
        <w:trPr>
          <w:trHeight w:val="206"/>
        </w:trPr>
        <w:tc>
          <w:tcPr>
            <w:tcW w:w="1720" w:type="dxa"/>
            <w:vAlign w:val="bottom"/>
          </w:tcPr>
          <w:p>
            <w:pPr>
              <w:spacing w:after="0"/>
              <w:rPr>
                <w:sz w:val="17"/>
                <w:szCs w:val="17"/>
                <w:color w:val="auto"/>
              </w:rPr>
            </w:pPr>
          </w:p>
        </w:tc>
        <w:tc>
          <w:tcPr>
            <w:tcW w:w="9500" w:type="dxa"/>
            <w:vAlign w:val="bottom"/>
            <w:gridSpan w:val="13"/>
          </w:tcPr>
          <w:p>
            <w:pPr>
              <w:spacing w:after="0" w:line="206" w:lineRule="exact"/>
              <w:rPr>
                <w:sz w:val="20"/>
                <w:szCs w:val="20"/>
                <w:color w:val="auto"/>
              </w:rPr>
            </w:pPr>
            <w:r>
              <w:rPr>
                <w:rFonts w:ascii="Arial" w:cs="Arial" w:eastAsia="Arial" w:hAnsi="Arial"/>
                <w:sz w:val="20"/>
                <w:szCs w:val="20"/>
                <w:color w:val="auto"/>
                <w:w w:val="92"/>
              </w:rPr>
              <w:t>Hillhouse Capital (the "Hillhouse Entities"). Hillhouse Capital acts as the sole management company of the Hillhouse</w:t>
            </w:r>
          </w:p>
        </w:tc>
      </w:tr>
      <w:tr>
        <w:trPr>
          <w:trHeight w:val="20"/>
        </w:trPr>
        <w:tc>
          <w:tcPr>
            <w:tcW w:w="17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r>
      <w:tr>
        <w:trPr>
          <w:trHeight w:val="233"/>
        </w:trPr>
        <w:tc>
          <w:tcPr>
            <w:tcW w:w="1720" w:type="dxa"/>
            <w:vAlign w:val="bottom"/>
          </w:tcPr>
          <w:p>
            <w:pPr>
              <w:spacing w:after="0"/>
              <w:rPr>
                <w:sz w:val="20"/>
                <w:szCs w:val="20"/>
                <w:color w:val="auto"/>
              </w:rPr>
            </w:pPr>
          </w:p>
        </w:tc>
        <w:tc>
          <w:tcPr>
            <w:tcW w:w="9500" w:type="dxa"/>
            <w:vAlign w:val="bottom"/>
            <w:gridSpan w:val="13"/>
          </w:tcPr>
          <w:p>
            <w:pPr>
              <w:spacing w:after="0"/>
              <w:rPr>
                <w:sz w:val="20"/>
                <w:szCs w:val="20"/>
                <w:color w:val="auto"/>
              </w:rPr>
            </w:pPr>
            <w:r>
              <w:rPr>
                <w:rFonts w:ascii="Arial" w:cs="Arial" w:eastAsia="Arial" w:hAnsi="Arial"/>
                <w:sz w:val="20"/>
                <w:szCs w:val="20"/>
                <w:color w:val="auto"/>
                <w:w w:val="93"/>
              </w:rPr>
              <w:t>Entities. Hillhouse Capital is hereby deemed to be the beneficial owner of, and to control the voting and investment</w:t>
            </w:r>
          </w:p>
        </w:tc>
      </w:tr>
      <w:tr>
        <w:trPr>
          <w:trHeight w:val="230"/>
        </w:trPr>
        <w:tc>
          <w:tcPr>
            <w:tcW w:w="1720" w:type="dxa"/>
            <w:vAlign w:val="bottom"/>
          </w:tcPr>
          <w:p>
            <w:pPr>
              <w:spacing w:after="0"/>
              <w:rPr>
                <w:sz w:val="19"/>
                <w:szCs w:val="19"/>
                <w:color w:val="auto"/>
              </w:rPr>
            </w:pPr>
          </w:p>
        </w:tc>
        <w:tc>
          <w:tcPr>
            <w:tcW w:w="9500" w:type="dxa"/>
            <w:vAlign w:val="bottom"/>
            <w:gridSpan w:val="13"/>
          </w:tcPr>
          <w:p>
            <w:pPr>
              <w:spacing w:after="0"/>
              <w:rPr>
                <w:sz w:val="20"/>
                <w:szCs w:val="20"/>
                <w:color w:val="auto"/>
              </w:rPr>
            </w:pPr>
            <w:r>
              <w:rPr>
                <w:rFonts w:ascii="Arial" w:cs="Arial" w:eastAsia="Arial" w:hAnsi="Arial"/>
                <w:sz w:val="20"/>
                <w:szCs w:val="20"/>
                <w:color w:val="auto"/>
                <w:w w:val="91"/>
              </w:rPr>
              <w:t>power of, the shares of Class A Common Stock held by and underlying shares of Class B Common Stock held by the</w:t>
            </w:r>
          </w:p>
        </w:tc>
      </w:tr>
      <w:tr>
        <w:trPr>
          <w:trHeight w:val="250"/>
        </w:trPr>
        <w:tc>
          <w:tcPr>
            <w:tcW w:w="1720" w:type="dxa"/>
            <w:vAlign w:val="bottom"/>
          </w:tcPr>
          <w:p>
            <w:pPr>
              <w:spacing w:after="0"/>
              <w:rPr>
                <w:sz w:val="21"/>
                <w:szCs w:val="21"/>
                <w:color w:val="auto"/>
              </w:rPr>
            </w:pPr>
          </w:p>
        </w:tc>
        <w:tc>
          <w:tcPr>
            <w:tcW w:w="9500" w:type="dxa"/>
            <w:vAlign w:val="bottom"/>
            <w:gridSpan w:val="13"/>
          </w:tcPr>
          <w:p>
            <w:pPr>
              <w:spacing w:after="0"/>
              <w:rPr>
                <w:sz w:val="20"/>
                <w:szCs w:val="20"/>
                <w:color w:val="auto"/>
              </w:rPr>
            </w:pPr>
            <w:r>
              <w:rPr>
                <w:rFonts w:ascii="Arial" w:cs="Arial" w:eastAsia="Arial" w:hAnsi="Arial"/>
                <w:sz w:val="20"/>
                <w:szCs w:val="20"/>
                <w:color w:val="auto"/>
              </w:rPr>
              <w:t>Hillhouse Entities.</w:t>
            </w:r>
          </w:p>
        </w:tc>
      </w:tr>
      <w:tr>
        <w:trPr>
          <w:trHeight w:val="438"/>
        </w:trPr>
        <w:tc>
          <w:tcPr>
            <w:tcW w:w="172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500" w:type="dxa"/>
            <w:vAlign w:val="bottom"/>
            <w:gridSpan w:val="13"/>
          </w:tcPr>
          <w:p>
            <w:pPr>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720" w:type="dxa"/>
            <w:vAlign w:val="bottom"/>
          </w:tcPr>
          <w:p>
            <w:pPr>
              <w:spacing w:after="0"/>
              <w:rPr>
                <w:sz w:val="19"/>
                <w:szCs w:val="19"/>
                <w:color w:val="auto"/>
              </w:rPr>
            </w:pPr>
          </w:p>
        </w:tc>
        <w:tc>
          <w:tcPr>
            <w:tcW w:w="9500" w:type="dxa"/>
            <w:vAlign w:val="bottom"/>
            <w:gridSpan w:val="13"/>
          </w:tcPr>
          <w:p>
            <w:pPr>
              <w:spacing w:after="0"/>
              <w:rPr>
                <w:sz w:val="20"/>
                <w:szCs w:val="20"/>
                <w:color w:val="auto"/>
              </w:rPr>
            </w:pPr>
            <w:r>
              <w:rPr>
                <w:rFonts w:ascii="Arial" w:cs="Arial" w:eastAsia="Arial" w:hAnsi="Arial"/>
                <w:sz w:val="20"/>
                <w:szCs w:val="20"/>
                <w:color w:val="auto"/>
                <w:w w:val="87"/>
              </w:rPr>
              <w:t>The address of the business office of the Reporting Person is Suite 2202, 22nd Floor, Two International Finance Centre, 8</w:t>
            </w:r>
          </w:p>
        </w:tc>
      </w:tr>
      <w:tr>
        <w:trPr>
          <w:trHeight w:val="250"/>
        </w:trPr>
        <w:tc>
          <w:tcPr>
            <w:tcW w:w="1720" w:type="dxa"/>
            <w:vAlign w:val="bottom"/>
          </w:tcPr>
          <w:p>
            <w:pPr>
              <w:spacing w:after="0"/>
              <w:rPr>
                <w:sz w:val="21"/>
                <w:szCs w:val="21"/>
                <w:color w:val="auto"/>
              </w:rPr>
            </w:pPr>
          </w:p>
        </w:tc>
        <w:tc>
          <w:tcPr>
            <w:tcW w:w="9500" w:type="dxa"/>
            <w:vAlign w:val="bottom"/>
            <w:gridSpan w:val="13"/>
          </w:tcPr>
          <w:p>
            <w:pPr>
              <w:spacing w:after="0"/>
              <w:rPr>
                <w:sz w:val="20"/>
                <w:szCs w:val="20"/>
                <w:color w:val="auto"/>
              </w:rPr>
            </w:pPr>
            <w:r>
              <w:rPr>
                <w:rFonts w:ascii="Arial" w:cs="Arial" w:eastAsia="Arial" w:hAnsi="Arial"/>
                <w:sz w:val="20"/>
                <w:szCs w:val="20"/>
                <w:color w:val="auto"/>
              </w:rPr>
              <w:t>Finance Street, Central Hong Kong.</w:t>
            </w:r>
          </w:p>
        </w:tc>
      </w:tr>
      <w:tr>
        <w:trPr>
          <w:trHeight w:val="438"/>
        </w:trPr>
        <w:tc>
          <w:tcPr>
            <w:tcW w:w="172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500" w:type="dxa"/>
            <w:vAlign w:val="bottom"/>
            <w:gridSpan w:val="13"/>
          </w:tcPr>
          <w:p>
            <w:pPr>
              <w:spacing w:after="0"/>
              <w:rPr>
                <w:sz w:val="20"/>
                <w:szCs w:val="20"/>
                <w:color w:val="auto"/>
              </w:rPr>
            </w:pPr>
            <w:r>
              <w:rPr>
                <w:rFonts w:ascii="Arial" w:cs="Arial" w:eastAsia="Arial" w:hAnsi="Arial"/>
                <w:sz w:val="20"/>
                <w:szCs w:val="20"/>
                <w:b w:val="1"/>
                <w:bCs w:val="1"/>
                <w:color w:val="auto"/>
              </w:rPr>
              <w:t>CITIZENSHIP</w:t>
            </w:r>
          </w:p>
        </w:tc>
      </w:tr>
      <w:tr>
        <w:trPr>
          <w:trHeight w:val="250"/>
        </w:trPr>
        <w:tc>
          <w:tcPr>
            <w:tcW w:w="1720" w:type="dxa"/>
            <w:vAlign w:val="bottom"/>
          </w:tcPr>
          <w:p>
            <w:pPr>
              <w:spacing w:after="0"/>
              <w:rPr>
                <w:sz w:val="21"/>
                <w:szCs w:val="21"/>
                <w:color w:val="auto"/>
              </w:rPr>
            </w:pPr>
          </w:p>
        </w:tc>
        <w:tc>
          <w:tcPr>
            <w:tcW w:w="9500" w:type="dxa"/>
            <w:vAlign w:val="bottom"/>
            <w:gridSpan w:val="13"/>
          </w:tcPr>
          <w:p>
            <w:pPr>
              <w:spacing w:after="0"/>
              <w:rPr>
                <w:sz w:val="20"/>
                <w:szCs w:val="20"/>
                <w:color w:val="auto"/>
              </w:rPr>
            </w:pPr>
            <w:r>
              <w:rPr>
                <w:rFonts w:ascii="Arial" w:cs="Arial" w:eastAsia="Arial" w:hAnsi="Arial"/>
                <w:sz w:val="20"/>
                <w:szCs w:val="20"/>
                <w:color w:val="auto"/>
              </w:rPr>
              <w:t>Cayman Islands</w:t>
            </w:r>
          </w:p>
        </w:tc>
      </w:tr>
      <w:tr>
        <w:trPr>
          <w:trHeight w:val="438"/>
        </w:trPr>
        <w:tc>
          <w:tcPr>
            <w:tcW w:w="172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500" w:type="dxa"/>
            <w:vAlign w:val="bottom"/>
            <w:gridSpan w:val="13"/>
          </w:tcPr>
          <w:p>
            <w:pPr>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720" w:type="dxa"/>
            <w:vAlign w:val="bottom"/>
          </w:tcPr>
          <w:p>
            <w:pPr>
              <w:spacing w:after="0"/>
              <w:rPr>
                <w:sz w:val="17"/>
                <w:szCs w:val="17"/>
                <w:color w:val="auto"/>
              </w:rPr>
            </w:pPr>
          </w:p>
        </w:tc>
        <w:tc>
          <w:tcPr>
            <w:tcW w:w="9500" w:type="dxa"/>
            <w:vAlign w:val="bottom"/>
            <w:gridSpan w:val="13"/>
          </w:tcPr>
          <w:p>
            <w:pPr>
              <w:spacing w:after="0" w:line="206" w:lineRule="exact"/>
              <w:rPr>
                <w:sz w:val="20"/>
                <w:szCs w:val="20"/>
                <w:color w:val="auto"/>
              </w:rPr>
            </w:pPr>
            <w:r>
              <w:rPr>
                <w:rFonts w:ascii="Arial" w:cs="Arial" w:eastAsia="Arial" w:hAnsi="Arial"/>
                <w:sz w:val="20"/>
                <w:szCs w:val="20"/>
                <w:color w:val="auto"/>
              </w:rPr>
              <w:t>Class A Common Stock, par value of $0.001 per share (the "Class A Common Stock").</w:t>
            </w:r>
          </w:p>
        </w:tc>
      </w:tr>
      <w:tr>
        <w:trPr>
          <w:trHeight w:val="463"/>
        </w:trPr>
        <w:tc>
          <w:tcPr>
            <w:tcW w:w="172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800" w:type="dxa"/>
            <w:vAlign w:val="bottom"/>
            <w:gridSpan w:val="7"/>
          </w:tcPr>
          <w:p>
            <w:pPr>
              <w:spacing w:after="0"/>
              <w:rPr>
                <w:sz w:val="20"/>
                <w:szCs w:val="20"/>
                <w:color w:val="auto"/>
              </w:rPr>
            </w:pPr>
            <w:r>
              <w:rPr>
                <w:rFonts w:ascii="Arial" w:cs="Arial" w:eastAsia="Arial" w:hAnsi="Arial"/>
                <w:sz w:val="20"/>
                <w:szCs w:val="20"/>
                <w:b w:val="1"/>
                <w:bCs w:val="1"/>
                <w:color w:val="auto"/>
              </w:rPr>
              <w:t>CUSIP NUMBER</w:t>
            </w:r>
          </w:p>
        </w:tc>
        <w:tc>
          <w:tcPr>
            <w:tcW w:w="1920" w:type="dxa"/>
            <w:vAlign w:val="bottom"/>
            <w:tcBorders>
              <w:top w:val="single" w:sz="8" w:color="auto"/>
            </w:tcBorders>
            <w:gridSpan w:val="3"/>
          </w:tcPr>
          <w:p>
            <w:pPr>
              <w:spacing w:after="0"/>
              <w:rPr>
                <w:sz w:val="24"/>
                <w:szCs w:val="24"/>
                <w:color w:val="auto"/>
              </w:rPr>
            </w:pPr>
          </w:p>
        </w:tc>
        <w:tc>
          <w:tcPr>
            <w:tcW w:w="2780" w:type="dxa"/>
            <w:vAlign w:val="bottom"/>
            <w:gridSpan w:val="3"/>
          </w:tcPr>
          <w:p>
            <w:pPr>
              <w:spacing w:after="0"/>
              <w:rPr>
                <w:sz w:val="24"/>
                <w:szCs w:val="24"/>
                <w:color w:val="auto"/>
              </w:rPr>
            </w:pPr>
          </w:p>
        </w:tc>
      </w:tr>
      <w:tr>
        <w:trPr>
          <w:trHeight w:val="250"/>
        </w:trPr>
        <w:tc>
          <w:tcPr>
            <w:tcW w:w="17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20"/>
                <w:szCs w:val="20"/>
                <w:color w:val="auto"/>
              </w:rPr>
              <w:t>98980L101</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432"/>
        </w:trPr>
        <w:tc>
          <w:tcPr>
            <w:tcW w:w="172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500" w:type="dxa"/>
            <w:vAlign w:val="bottom"/>
            <w:gridSpan w:val="13"/>
          </w:tcPr>
          <w:p>
            <w:pPr>
              <w:spacing w:after="0"/>
              <w:rPr>
                <w:sz w:val="20"/>
                <w:szCs w:val="20"/>
                <w:color w:val="auto"/>
              </w:rPr>
            </w:pPr>
            <w:r>
              <w:rPr>
                <w:rFonts w:ascii="Arial" w:cs="Arial" w:eastAsia="Arial" w:hAnsi="Arial"/>
                <w:sz w:val="20"/>
                <w:szCs w:val="20"/>
                <w:b w:val="1"/>
                <w:bCs w:val="1"/>
                <w:color w:val="auto"/>
                <w:w w:val="99"/>
              </w:rPr>
              <w:t>IF THIS STATEMENT IS FILED PURSUANT TO Rules 13d-1(b), OR 13d-2(b) OR (c), CHECK WHETHER</w:t>
            </w:r>
          </w:p>
        </w:tc>
      </w:tr>
      <w:tr>
        <w:trPr>
          <w:trHeight w:val="212"/>
        </w:trPr>
        <w:tc>
          <w:tcPr>
            <w:tcW w:w="1720" w:type="dxa"/>
            <w:vAlign w:val="bottom"/>
          </w:tcPr>
          <w:p>
            <w:pPr>
              <w:spacing w:after="0"/>
              <w:rPr>
                <w:sz w:val="18"/>
                <w:szCs w:val="18"/>
                <w:color w:val="auto"/>
              </w:rPr>
            </w:pPr>
          </w:p>
        </w:tc>
        <w:tc>
          <w:tcPr>
            <w:tcW w:w="9500" w:type="dxa"/>
            <w:vAlign w:val="bottom"/>
            <w:gridSpan w:val="13"/>
          </w:tcPr>
          <w:p>
            <w:pPr>
              <w:spacing w:after="0" w:line="211" w:lineRule="exact"/>
              <w:rPr>
                <w:sz w:val="20"/>
                <w:szCs w:val="20"/>
                <w:color w:val="auto"/>
              </w:rPr>
            </w:pPr>
            <w:r>
              <w:rPr>
                <w:rFonts w:ascii="Arial" w:cs="Arial" w:eastAsia="Arial" w:hAnsi="Arial"/>
                <w:sz w:val="20"/>
                <w:szCs w:val="20"/>
                <w:b w:val="1"/>
                <w:bCs w:val="1"/>
                <w:color w:val="auto"/>
              </w:rPr>
              <w:t>THE PERSON FILING IS A:</w:t>
            </w:r>
          </w:p>
        </w:tc>
      </w:tr>
      <w:tr>
        <w:trPr>
          <w:trHeight w:val="310"/>
        </w:trPr>
        <w:tc>
          <w:tcPr>
            <w:tcW w:w="17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(a)</w:t>
            </w:r>
          </w:p>
        </w:tc>
        <w:tc>
          <w:tcPr>
            <w:tcW w:w="54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380" w:type="dxa"/>
            <w:vAlign w:val="bottom"/>
            <w:gridSpan w:val="11"/>
          </w:tcPr>
          <w:p>
            <w:pPr>
              <w:ind w:left="14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7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(b)</w:t>
            </w:r>
          </w:p>
        </w:tc>
        <w:tc>
          <w:tcPr>
            <w:tcW w:w="54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380" w:type="dxa"/>
            <w:vAlign w:val="bottom"/>
            <w:gridSpan w:val="11"/>
          </w:tcPr>
          <w:p>
            <w:pPr>
              <w:ind w:left="14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7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(c)</w:t>
            </w:r>
          </w:p>
        </w:tc>
        <w:tc>
          <w:tcPr>
            <w:tcW w:w="54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380" w:type="dxa"/>
            <w:vAlign w:val="bottom"/>
            <w:gridSpan w:val="11"/>
          </w:tcPr>
          <w:p>
            <w:pPr>
              <w:ind w:left="14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7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(d)</w:t>
            </w:r>
          </w:p>
        </w:tc>
        <w:tc>
          <w:tcPr>
            <w:tcW w:w="54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380" w:type="dxa"/>
            <w:vAlign w:val="bottom"/>
            <w:gridSpan w:val="11"/>
          </w:tcPr>
          <w:p>
            <w:pPr>
              <w:ind w:left="14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24"/>
        </w:trPr>
        <w:tc>
          <w:tcPr>
            <w:tcW w:w="17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(e)</w:t>
            </w:r>
          </w:p>
        </w:tc>
        <w:tc>
          <w:tcPr>
            <w:tcW w:w="540" w:type="dxa"/>
            <w:vAlign w:val="bottom"/>
          </w:tcPr>
          <w:p>
            <w:pPr>
              <w:jc w:val="center"/>
              <w:spacing w:after="0"/>
              <w:rPr>
                <w:sz w:val="20"/>
                <w:szCs w:val="20"/>
                <w:color w:val="auto"/>
              </w:rPr>
            </w:pPr>
            <w:r>
              <w:rPr>
                <w:rFonts w:ascii="Arial" w:cs="Arial" w:eastAsia="Arial" w:hAnsi="Arial"/>
                <w:sz w:val="20"/>
                <w:szCs w:val="20"/>
                <w:color w:val="auto"/>
                <w:w w:val="99"/>
              </w:rPr>
              <w:t>ý</w:t>
            </w:r>
          </w:p>
        </w:tc>
        <w:tc>
          <w:tcPr>
            <w:tcW w:w="8380" w:type="dxa"/>
            <w:vAlign w:val="bottom"/>
            <w:gridSpan w:val="11"/>
          </w:tcPr>
          <w:p>
            <w:pPr>
              <w:ind w:left="14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81"/>
        </w:trPr>
        <w:tc>
          <w:tcPr>
            <w:tcW w:w="17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(f)</w:t>
            </w:r>
          </w:p>
        </w:tc>
        <w:tc>
          <w:tcPr>
            <w:tcW w:w="54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160" w:type="dxa"/>
            <w:vAlign w:val="bottom"/>
          </w:tcPr>
          <w:p>
            <w:pPr>
              <w:spacing w:after="0"/>
              <w:rPr>
                <w:sz w:val="24"/>
                <w:szCs w:val="24"/>
                <w:color w:val="auto"/>
              </w:rPr>
            </w:pPr>
          </w:p>
        </w:tc>
        <w:tc>
          <w:tcPr>
            <w:tcW w:w="8220" w:type="dxa"/>
            <w:vAlign w:val="bottom"/>
            <w:gridSpan w:val="10"/>
          </w:tcPr>
          <w:p>
            <w:pPr>
              <w:ind w:left="2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7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(g)</w:t>
            </w:r>
          </w:p>
        </w:tc>
        <w:tc>
          <w:tcPr>
            <w:tcW w:w="54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160" w:type="dxa"/>
            <w:vAlign w:val="bottom"/>
          </w:tcPr>
          <w:p>
            <w:pPr>
              <w:spacing w:after="0"/>
              <w:rPr>
                <w:sz w:val="24"/>
                <w:szCs w:val="24"/>
                <w:color w:val="auto"/>
              </w:rPr>
            </w:pPr>
          </w:p>
        </w:tc>
        <w:tc>
          <w:tcPr>
            <w:tcW w:w="8220" w:type="dxa"/>
            <w:vAlign w:val="bottom"/>
            <w:gridSpan w:val="10"/>
          </w:tcPr>
          <w:p>
            <w:pPr>
              <w:ind w:left="2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17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(h)</w:t>
            </w:r>
          </w:p>
        </w:tc>
        <w:tc>
          <w:tcPr>
            <w:tcW w:w="54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8380" w:type="dxa"/>
            <w:vAlign w:val="bottom"/>
            <w:gridSpan w:val="11"/>
          </w:tcPr>
          <w:p>
            <w:pPr>
              <w:ind w:left="14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bl>
    <w:p>
      <w:pPr>
        <w:sectPr>
          <w:pgSz w:w="11900" w:h="16838" w:orient="portrait"/>
          <w:cols w:equalWidth="0" w:num="1">
            <w:col w:w="11420"/>
          </w:cols>
          <w:pgMar w:left="240" w:top="229" w:right="239" w:bottom="1440" w:gutter="0" w:footer="0" w:header="0"/>
          <w:type w:val="continuous"/>
        </w:sectPr>
      </w:pPr>
    </w:p>
    <w:bookmarkStart w:id="3" w:name="page4"/>
    <w:bookmarkEnd w:id="3"/>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98980L101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5 Pages</w:t>
      </w:r>
    </w:p>
    <w:p>
      <w:pPr>
        <w:sectPr>
          <w:pgSz w:w="11900" w:h="16838" w:orient="portrait"/>
          <w:cols w:equalWidth="0" w:num="1">
            <w:col w:w="11420"/>
          </w:cols>
          <w:pgMar w:left="240" w:top="229" w:right="239" w:bottom="1440" w:gutter="0" w:footer="0" w:header="0"/>
        </w:sectPr>
      </w:pPr>
    </w:p>
    <w:p>
      <w:pPr>
        <w:spacing w:after="0" w:line="324"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1020" w:type="dxa"/>
            <w:vAlign w:val="bottom"/>
          </w:tcPr>
          <w:p>
            <w:pPr>
              <w:ind w:left="520"/>
              <w:spacing w:after="0"/>
              <w:rPr>
                <w:sz w:val="20"/>
                <w:szCs w:val="20"/>
                <w:color w:val="auto"/>
              </w:rPr>
            </w:pPr>
            <w:r>
              <w:rPr>
                <w:rFonts w:ascii="Arial" w:cs="Arial" w:eastAsia="Arial" w:hAnsi="Arial"/>
                <w:sz w:val="20"/>
                <w:szCs w:val="20"/>
                <w:color w:val="auto"/>
              </w:rPr>
              <w:t>(i)</w:t>
            </w:r>
          </w:p>
        </w:tc>
        <w:tc>
          <w:tcPr>
            <w:tcW w:w="74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40" w:type="dxa"/>
            <w:vAlign w:val="bottom"/>
          </w:tcPr>
          <w:p>
            <w:pPr>
              <w:ind w:left="20"/>
              <w:spacing w:after="0"/>
              <w:rPr>
                <w:sz w:val="20"/>
                <w:szCs w:val="20"/>
                <w:color w:val="auto"/>
              </w:rPr>
            </w:pPr>
            <w:r>
              <w:rPr>
                <w:rFonts w:ascii="Arial" w:cs="Arial" w:eastAsia="Arial" w:hAnsi="Arial"/>
                <w:sz w:val="20"/>
                <w:szCs w:val="20"/>
                <w:color w:val="auto"/>
                <w:w w:val="91"/>
              </w:rPr>
              <w:t>A church plan that is excluded from the definition of an investment company under Section 3(c)(14) of</w:t>
            </w:r>
          </w:p>
        </w:tc>
      </w:tr>
      <w:tr>
        <w:trPr>
          <w:trHeight w:val="250"/>
        </w:trPr>
        <w:tc>
          <w:tcPr>
            <w:tcW w:w="1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40" w:type="dxa"/>
            <w:vAlign w:val="bottom"/>
          </w:tcPr>
          <w:p>
            <w:pPr>
              <w:ind w:left="20"/>
              <w:spacing w:after="0"/>
              <w:rPr>
                <w:sz w:val="20"/>
                <w:szCs w:val="20"/>
                <w:color w:val="auto"/>
              </w:rPr>
            </w:pPr>
            <w:r>
              <w:rPr>
                <w:rFonts w:ascii="Arial" w:cs="Arial" w:eastAsia="Arial" w:hAnsi="Arial"/>
                <w:sz w:val="20"/>
                <w:szCs w:val="20"/>
                <w:color w:val="auto"/>
              </w:rPr>
              <w:t>the Investment Company Act;</w:t>
            </w:r>
          </w:p>
        </w:tc>
      </w:tr>
      <w:tr>
        <w:trPr>
          <w:trHeight w:val="495"/>
        </w:trPr>
        <w:tc>
          <w:tcPr>
            <w:tcW w:w="1200" w:type="dxa"/>
            <w:vAlign w:val="bottom"/>
          </w:tcPr>
          <w:p>
            <w:pPr>
              <w:spacing w:after="0"/>
              <w:rPr>
                <w:sz w:val="24"/>
                <w:szCs w:val="24"/>
                <w:color w:val="auto"/>
              </w:rPr>
            </w:pPr>
          </w:p>
        </w:tc>
        <w:tc>
          <w:tcPr>
            <w:tcW w:w="1020" w:type="dxa"/>
            <w:vAlign w:val="bottom"/>
          </w:tcPr>
          <w:p>
            <w:pPr>
              <w:ind w:left="520"/>
              <w:spacing w:after="0"/>
              <w:rPr>
                <w:sz w:val="20"/>
                <w:szCs w:val="20"/>
                <w:color w:val="auto"/>
              </w:rPr>
            </w:pPr>
            <w:r>
              <w:rPr>
                <w:rFonts w:ascii="Arial" w:cs="Arial" w:eastAsia="Arial" w:hAnsi="Arial"/>
                <w:sz w:val="20"/>
                <w:szCs w:val="20"/>
                <w:color w:val="auto"/>
              </w:rPr>
              <w:t>(j)</w:t>
            </w:r>
          </w:p>
        </w:tc>
        <w:tc>
          <w:tcPr>
            <w:tcW w:w="74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40" w:type="dxa"/>
            <w:vAlign w:val="bottom"/>
          </w:tcPr>
          <w:p>
            <w:pPr>
              <w:ind w:left="2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59"/>
        </w:trPr>
        <w:tc>
          <w:tcPr>
            <w:tcW w:w="1200" w:type="dxa"/>
            <w:vAlign w:val="bottom"/>
          </w:tcPr>
          <w:p>
            <w:pPr>
              <w:spacing w:after="0"/>
              <w:rPr>
                <w:sz w:val="24"/>
                <w:szCs w:val="24"/>
                <w:color w:val="auto"/>
              </w:rPr>
            </w:pPr>
          </w:p>
        </w:tc>
        <w:tc>
          <w:tcPr>
            <w:tcW w:w="1020" w:type="dxa"/>
            <w:vAlign w:val="bottom"/>
          </w:tcPr>
          <w:p>
            <w:pPr>
              <w:ind w:left="520"/>
              <w:spacing w:after="0"/>
              <w:rPr>
                <w:sz w:val="20"/>
                <w:szCs w:val="20"/>
                <w:color w:val="auto"/>
              </w:rPr>
            </w:pPr>
            <w:r>
              <w:rPr>
                <w:rFonts w:ascii="Arial" w:cs="Arial" w:eastAsia="Arial" w:hAnsi="Arial"/>
                <w:sz w:val="20"/>
                <w:szCs w:val="20"/>
                <w:color w:val="auto"/>
              </w:rPr>
              <w:t>(k)</w:t>
            </w:r>
          </w:p>
        </w:tc>
        <w:tc>
          <w:tcPr>
            <w:tcW w:w="74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40" w:type="dxa"/>
            <w:vAlign w:val="bottom"/>
          </w:tcPr>
          <w:p>
            <w:pPr>
              <w:ind w:left="20"/>
              <w:spacing w:after="0"/>
              <w:rPr>
                <w:sz w:val="20"/>
                <w:szCs w:val="20"/>
                <w:color w:val="auto"/>
              </w:rPr>
            </w:pPr>
            <w:r>
              <w:rPr>
                <w:rFonts w:ascii="Arial" w:cs="Arial" w:eastAsia="Arial" w:hAnsi="Arial"/>
                <w:sz w:val="20"/>
                <w:szCs w:val="20"/>
                <w:color w:val="auto"/>
              </w:rPr>
              <w:t>Group, in accordance with Rule 13d-1(b)(1)(ii)(K).</w:t>
            </w:r>
          </w:p>
        </w:tc>
      </w:tr>
      <w:tr>
        <w:trPr>
          <w:trHeight w:val="403"/>
        </w:trPr>
        <w:tc>
          <w:tcPr>
            <w:tcW w:w="1200" w:type="dxa"/>
            <w:vAlign w:val="bottom"/>
          </w:tcPr>
          <w:p>
            <w:pPr>
              <w:spacing w:after="0"/>
              <w:rPr>
                <w:sz w:val="24"/>
                <w:szCs w:val="24"/>
                <w:color w:val="auto"/>
              </w:rPr>
            </w:pPr>
          </w:p>
        </w:tc>
        <w:tc>
          <w:tcPr>
            <w:tcW w:w="10000" w:type="dxa"/>
            <w:vAlign w:val="bottom"/>
            <w:gridSpan w:val="3"/>
          </w:tcPr>
          <w:p>
            <w:pPr>
              <w:ind w:left="520"/>
              <w:spacing w:after="0"/>
              <w:rPr>
                <w:sz w:val="20"/>
                <w:szCs w:val="20"/>
                <w:color w:val="auto"/>
              </w:rPr>
            </w:pPr>
            <w:r>
              <w:rPr>
                <w:rFonts w:ascii="Arial" w:cs="Arial" w:eastAsia="Arial" w:hAnsi="Arial"/>
                <w:sz w:val="20"/>
                <w:szCs w:val="20"/>
                <w:color w:val="auto"/>
              </w:rPr>
              <w:t>If filing as a non-U.S. institution in accordance with Rule 13d-1(b)(1)(ii)(J), please</w:t>
            </w:r>
          </w:p>
        </w:tc>
      </w:tr>
      <w:tr>
        <w:trPr>
          <w:trHeight w:val="250"/>
        </w:trPr>
        <w:tc>
          <w:tcPr>
            <w:tcW w:w="1200" w:type="dxa"/>
            <w:vAlign w:val="bottom"/>
          </w:tcPr>
          <w:p>
            <w:pPr>
              <w:spacing w:after="0"/>
              <w:rPr>
                <w:sz w:val="21"/>
                <w:szCs w:val="21"/>
                <w:color w:val="auto"/>
              </w:rPr>
            </w:pPr>
          </w:p>
        </w:tc>
        <w:tc>
          <w:tcPr>
            <w:tcW w:w="10000" w:type="dxa"/>
            <w:vAlign w:val="bottom"/>
            <w:gridSpan w:val="3"/>
          </w:tcPr>
          <w:p>
            <w:pPr>
              <w:ind w:left="520"/>
              <w:spacing w:after="0"/>
              <w:rPr>
                <w:sz w:val="20"/>
                <w:szCs w:val="20"/>
                <w:color w:val="auto"/>
              </w:rPr>
            </w:pPr>
            <w:r>
              <w:rPr>
                <w:rFonts w:ascii="Arial" w:cs="Arial" w:eastAsia="Arial" w:hAnsi="Arial"/>
                <w:sz w:val="20"/>
                <w:szCs w:val="20"/>
                <w:color w:val="auto"/>
              </w:rPr>
              <w:t>specify the type of institution: ______________________________.</w:t>
            </w:r>
          </w:p>
        </w:tc>
      </w:tr>
      <w:tr>
        <w:trPr>
          <w:trHeight w:val="438"/>
        </w:trPr>
        <w:tc>
          <w:tcPr>
            <w:tcW w:w="1200" w:type="dxa"/>
            <w:vAlign w:val="bottom"/>
          </w:tcPr>
          <w:p>
            <w:pPr>
              <w:spacing w:after="0"/>
              <w:rPr>
                <w:sz w:val="20"/>
                <w:szCs w:val="20"/>
                <w:color w:val="auto"/>
              </w:rPr>
            </w:pPr>
            <w:r>
              <w:rPr>
                <w:rFonts w:ascii="Arial" w:cs="Arial" w:eastAsia="Arial" w:hAnsi="Arial"/>
                <w:sz w:val="20"/>
                <w:szCs w:val="20"/>
                <w:b w:val="1"/>
                <w:bCs w:val="1"/>
                <w:color w:val="auto"/>
              </w:rPr>
              <w:t>Item 4.</w:t>
            </w:r>
          </w:p>
        </w:tc>
        <w:tc>
          <w:tcPr>
            <w:tcW w:w="1760" w:type="dxa"/>
            <w:vAlign w:val="bottom"/>
            <w:gridSpan w:val="2"/>
          </w:tcPr>
          <w:p>
            <w:pPr>
              <w:ind w:left="520"/>
              <w:spacing w:after="0"/>
              <w:rPr>
                <w:sz w:val="20"/>
                <w:szCs w:val="20"/>
                <w:color w:val="auto"/>
              </w:rPr>
            </w:pPr>
            <w:r>
              <w:rPr>
                <w:rFonts w:ascii="Arial" w:cs="Arial" w:eastAsia="Arial" w:hAnsi="Arial"/>
                <w:sz w:val="20"/>
                <w:szCs w:val="20"/>
                <w:b w:val="1"/>
                <w:bCs w:val="1"/>
                <w:color w:val="auto"/>
                <w:w w:val="98"/>
              </w:rPr>
              <w:t>OWNERSHIP</w:t>
            </w:r>
          </w:p>
        </w:tc>
        <w:tc>
          <w:tcPr>
            <w:tcW w:w="8240" w:type="dxa"/>
            <w:vAlign w:val="bottom"/>
          </w:tcPr>
          <w:p>
            <w:pPr>
              <w:spacing w:after="0"/>
              <w:rPr>
                <w:sz w:val="24"/>
                <w:szCs w:val="24"/>
                <w:color w:val="auto"/>
              </w:rPr>
            </w:pPr>
          </w:p>
        </w:tc>
      </w:tr>
      <w:tr>
        <w:trPr>
          <w:trHeight w:val="230"/>
        </w:trPr>
        <w:tc>
          <w:tcPr>
            <w:tcW w:w="1200" w:type="dxa"/>
            <w:vAlign w:val="bottom"/>
          </w:tcPr>
          <w:p>
            <w:pPr>
              <w:spacing w:after="0"/>
              <w:rPr>
                <w:sz w:val="19"/>
                <w:szCs w:val="19"/>
                <w:color w:val="auto"/>
              </w:rPr>
            </w:pPr>
          </w:p>
        </w:tc>
        <w:tc>
          <w:tcPr>
            <w:tcW w:w="10000" w:type="dxa"/>
            <w:vAlign w:val="bottom"/>
            <w:gridSpan w:val="3"/>
          </w:tcPr>
          <w:p>
            <w:pPr>
              <w:ind w:left="520"/>
              <w:spacing w:after="0"/>
              <w:rPr>
                <w:sz w:val="20"/>
                <w:szCs w:val="20"/>
                <w:color w:val="auto"/>
              </w:rPr>
            </w:pPr>
            <w:r>
              <w:rPr>
                <w:rFonts w:ascii="Arial" w:cs="Arial" w:eastAsia="Arial" w:hAnsi="Arial"/>
                <w:sz w:val="20"/>
                <w:szCs w:val="20"/>
                <w:color w:val="auto"/>
                <w:w w:val="89"/>
              </w:rPr>
              <w:t>The percentage set forth in this Schedule 13G is calculated based upon an aggregate of 116,691,737 shares of Class A</w:t>
            </w:r>
          </w:p>
        </w:tc>
      </w:tr>
      <w:tr>
        <w:trPr>
          <w:trHeight w:val="230"/>
        </w:trPr>
        <w:tc>
          <w:tcPr>
            <w:tcW w:w="1200" w:type="dxa"/>
            <w:vAlign w:val="bottom"/>
          </w:tcPr>
          <w:p>
            <w:pPr>
              <w:spacing w:after="0"/>
              <w:rPr>
                <w:sz w:val="19"/>
                <w:szCs w:val="19"/>
                <w:color w:val="auto"/>
              </w:rPr>
            </w:pPr>
          </w:p>
        </w:tc>
        <w:tc>
          <w:tcPr>
            <w:tcW w:w="10000" w:type="dxa"/>
            <w:vAlign w:val="bottom"/>
            <w:gridSpan w:val="3"/>
          </w:tcPr>
          <w:p>
            <w:pPr>
              <w:ind w:left="520"/>
              <w:spacing w:after="0"/>
              <w:rPr>
                <w:sz w:val="20"/>
                <w:szCs w:val="20"/>
                <w:color w:val="auto"/>
              </w:rPr>
            </w:pPr>
            <w:r>
              <w:rPr>
                <w:rFonts w:ascii="Arial" w:cs="Arial" w:eastAsia="Arial" w:hAnsi="Arial"/>
                <w:sz w:val="20"/>
                <w:szCs w:val="20"/>
                <w:color w:val="auto"/>
                <w:w w:val="90"/>
              </w:rPr>
              <w:t>Common Stock outstanding, which is the number of shares of Class A Common Stock outstanding as of December 31,</w:t>
            </w:r>
          </w:p>
        </w:tc>
      </w:tr>
      <w:tr>
        <w:trPr>
          <w:trHeight w:val="250"/>
        </w:trPr>
        <w:tc>
          <w:tcPr>
            <w:tcW w:w="1200" w:type="dxa"/>
            <w:vAlign w:val="bottom"/>
          </w:tcPr>
          <w:p>
            <w:pPr>
              <w:spacing w:after="0"/>
              <w:rPr>
                <w:sz w:val="21"/>
                <w:szCs w:val="21"/>
                <w:color w:val="auto"/>
              </w:rPr>
            </w:pPr>
          </w:p>
        </w:tc>
        <w:tc>
          <w:tcPr>
            <w:tcW w:w="10000" w:type="dxa"/>
            <w:vAlign w:val="bottom"/>
            <w:gridSpan w:val="3"/>
          </w:tcPr>
          <w:p>
            <w:pPr>
              <w:ind w:left="520"/>
              <w:spacing w:after="0"/>
              <w:rPr>
                <w:sz w:val="20"/>
                <w:szCs w:val="20"/>
                <w:color w:val="auto"/>
              </w:rPr>
            </w:pPr>
            <w:r>
              <w:rPr>
                <w:rFonts w:ascii="Arial" w:cs="Arial" w:eastAsia="Arial" w:hAnsi="Arial"/>
                <w:sz w:val="20"/>
                <w:szCs w:val="20"/>
                <w:color w:val="auto"/>
              </w:rPr>
              <w:t>2019 as the Reporting Person has been informed by the Company's transfer agent.</w:t>
            </w:r>
          </w:p>
        </w:tc>
      </w:tr>
      <w:tr>
        <w:trPr>
          <w:trHeight w:val="438"/>
        </w:trPr>
        <w:tc>
          <w:tcPr>
            <w:tcW w:w="1200" w:type="dxa"/>
            <w:vAlign w:val="bottom"/>
          </w:tcPr>
          <w:p>
            <w:pPr>
              <w:spacing w:after="0"/>
              <w:rPr>
                <w:sz w:val="24"/>
                <w:szCs w:val="24"/>
                <w:color w:val="auto"/>
              </w:rPr>
            </w:pPr>
          </w:p>
        </w:tc>
        <w:tc>
          <w:tcPr>
            <w:tcW w:w="10000" w:type="dxa"/>
            <w:vAlign w:val="bottom"/>
            <w:gridSpan w:val="3"/>
          </w:tcPr>
          <w:p>
            <w:pPr>
              <w:ind w:left="520"/>
              <w:spacing w:after="0"/>
              <w:rPr>
                <w:sz w:val="20"/>
                <w:szCs w:val="20"/>
                <w:color w:val="auto"/>
              </w:rPr>
            </w:pPr>
            <w:r>
              <w:rPr>
                <w:rFonts w:ascii="Arial" w:cs="Arial" w:eastAsia="Arial" w:hAnsi="Arial"/>
                <w:sz w:val="20"/>
                <w:szCs w:val="20"/>
                <w:color w:val="auto"/>
                <w:w w:val="91"/>
              </w:rPr>
              <w:t>The information required by Items 4(a) - (c) is set forth in Rows 5 - 11 of the cover page for the Reporting Person and</w:t>
            </w:r>
          </w:p>
        </w:tc>
      </w:tr>
      <w:tr>
        <w:trPr>
          <w:trHeight w:val="250"/>
        </w:trPr>
        <w:tc>
          <w:tcPr>
            <w:tcW w:w="1200" w:type="dxa"/>
            <w:vAlign w:val="bottom"/>
          </w:tcPr>
          <w:p>
            <w:pPr>
              <w:spacing w:after="0"/>
              <w:rPr>
                <w:sz w:val="21"/>
                <w:szCs w:val="21"/>
                <w:color w:val="auto"/>
              </w:rPr>
            </w:pPr>
          </w:p>
        </w:tc>
        <w:tc>
          <w:tcPr>
            <w:tcW w:w="10000" w:type="dxa"/>
            <w:vAlign w:val="bottom"/>
            <w:gridSpan w:val="3"/>
          </w:tcPr>
          <w:p>
            <w:pPr>
              <w:ind w:left="520"/>
              <w:spacing w:after="0"/>
              <w:rPr>
                <w:sz w:val="20"/>
                <w:szCs w:val="20"/>
                <w:color w:val="auto"/>
              </w:rPr>
            </w:pPr>
            <w:r>
              <w:rPr>
                <w:rFonts w:ascii="Arial" w:cs="Arial" w:eastAsia="Arial" w:hAnsi="Arial"/>
                <w:sz w:val="20"/>
                <w:szCs w:val="20"/>
                <w:color w:val="auto"/>
              </w:rPr>
              <w:t>is incorporated herein by reference.</w:t>
            </w:r>
          </w:p>
        </w:tc>
      </w:tr>
      <w:tr>
        <w:trPr>
          <w:trHeight w:val="438"/>
        </w:trPr>
        <w:tc>
          <w:tcPr>
            <w:tcW w:w="120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000" w:type="dxa"/>
            <w:vAlign w:val="bottom"/>
            <w:gridSpan w:val="3"/>
          </w:tcPr>
          <w:p>
            <w:pPr>
              <w:ind w:left="520"/>
              <w:spacing w:after="0"/>
              <w:rPr>
                <w:sz w:val="20"/>
                <w:szCs w:val="20"/>
                <w:color w:val="auto"/>
              </w:rPr>
            </w:pPr>
            <w:r>
              <w:rPr>
                <w:rFonts w:ascii="Arial" w:cs="Arial" w:eastAsia="Arial" w:hAnsi="Arial"/>
                <w:sz w:val="20"/>
                <w:szCs w:val="20"/>
                <w:b w:val="1"/>
                <w:bCs w:val="1"/>
                <w:color w:val="auto"/>
              </w:rPr>
              <w:t>OWNERSHIP OF FIVE PERCENT OR LESS OF A CLASS</w:t>
            </w:r>
          </w:p>
        </w:tc>
      </w:tr>
      <w:tr>
        <w:trPr>
          <w:trHeight w:val="250"/>
        </w:trPr>
        <w:tc>
          <w:tcPr>
            <w:tcW w:w="1200" w:type="dxa"/>
            <w:vAlign w:val="bottom"/>
          </w:tcPr>
          <w:p>
            <w:pPr>
              <w:spacing w:after="0"/>
              <w:rPr>
                <w:sz w:val="21"/>
                <w:szCs w:val="21"/>
                <w:color w:val="auto"/>
              </w:rPr>
            </w:pPr>
          </w:p>
        </w:tc>
        <w:tc>
          <w:tcPr>
            <w:tcW w:w="1760" w:type="dxa"/>
            <w:vAlign w:val="bottom"/>
            <w:gridSpan w:val="2"/>
          </w:tcPr>
          <w:p>
            <w:pPr>
              <w:ind w:left="520"/>
              <w:spacing w:after="0"/>
              <w:rPr>
                <w:sz w:val="20"/>
                <w:szCs w:val="20"/>
                <w:color w:val="auto"/>
              </w:rPr>
            </w:pPr>
            <w:r>
              <w:rPr>
                <w:rFonts w:ascii="Arial" w:cs="Arial" w:eastAsia="Arial" w:hAnsi="Arial"/>
                <w:sz w:val="20"/>
                <w:szCs w:val="20"/>
                <w:color w:val="auto"/>
                <w:w w:val="92"/>
              </w:rPr>
              <w:t>Not applicable.</w:t>
            </w:r>
          </w:p>
        </w:tc>
        <w:tc>
          <w:tcPr>
            <w:tcW w:w="8240" w:type="dxa"/>
            <w:vAlign w:val="bottom"/>
          </w:tcPr>
          <w:p>
            <w:pPr>
              <w:spacing w:after="0"/>
              <w:rPr>
                <w:sz w:val="21"/>
                <w:szCs w:val="21"/>
                <w:color w:val="auto"/>
              </w:rPr>
            </w:pPr>
          </w:p>
        </w:tc>
      </w:tr>
      <w:tr>
        <w:trPr>
          <w:trHeight w:val="438"/>
        </w:trPr>
        <w:tc>
          <w:tcPr>
            <w:tcW w:w="120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000" w:type="dxa"/>
            <w:vAlign w:val="bottom"/>
            <w:gridSpan w:val="3"/>
          </w:tcPr>
          <w:p>
            <w:pPr>
              <w:ind w:left="520"/>
              <w:spacing w:after="0"/>
              <w:rPr>
                <w:sz w:val="20"/>
                <w:szCs w:val="20"/>
                <w:color w:val="auto"/>
              </w:rPr>
            </w:pPr>
            <w:r>
              <w:rPr>
                <w:rFonts w:ascii="Arial" w:cs="Arial" w:eastAsia="Arial" w:hAnsi="Arial"/>
                <w:sz w:val="20"/>
                <w:szCs w:val="20"/>
                <w:b w:val="1"/>
                <w:bCs w:val="1"/>
                <w:color w:val="auto"/>
              </w:rPr>
              <w:t>OWNERSHIP OF MORE THAN FIVE PERCENT ON BEHALF OF ANOTHER PERSON</w:t>
            </w:r>
          </w:p>
        </w:tc>
      </w:tr>
      <w:tr>
        <w:trPr>
          <w:trHeight w:val="250"/>
        </w:trPr>
        <w:tc>
          <w:tcPr>
            <w:tcW w:w="1200" w:type="dxa"/>
            <w:vAlign w:val="bottom"/>
          </w:tcPr>
          <w:p>
            <w:pPr>
              <w:spacing w:after="0"/>
              <w:rPr>
                <w:sz w:val="21"/>
                <w:szCs w:val="21"/>
                <w:color w:val="auto"/>
              </w:rPr>
            </w:pPr>
          </w:p>
        </w:tc>
        <w:tc>
          <w:tcPr>
            <w:tcW w:w="1760" w:type="dxa"/>
            <w:vAlign w:val="bottom"/>
            <w:gridSpan w:val="2"/>
          </w:tcPr>
          <w:p>
            <w:pPr>
              <w:ind w:left="520"/>
              <w:spacing w:after="0"/>
              <w:rPr>
                <w:sz w:val="20"/>
                <w:szCs w:val="20"/>
                <w:color w:val="auto"/>
              </w:rPr>
            </w:pPr>
            <w:r>
              <w:rPr>
                <w:rFonts w:ascii="Arial" w:cs="Arial" w:eastAsia="Arial" w:hAnsi="Arial"/>
                <w:sz w:val="20"/>
                <w:szCs w:val="20"/>
                <w:color w:val="auto"/>
              </w:rPr>
              <w:t>See Item 2.</w:t>
            </w:r>
          </w:p>
        </w:tc>
        <w:tc>
          <w:tcPr>
            <w:tcW w:w="8240" w:type="dxa"/>
            <w:vAlign w:val="bottom"/>
          </w:tcPr>
          <w:p>
            <w:pPr>
              <w:spacing w:after="0"/>
              <w:rPr>
                <w:sz w:val="21"/>
                <w:szCs w:val="2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20"/>
                <w:szCs w:val="20"/>
                <w:b w:val="1"/>
                <w:bCs w:val="1"/>
                <w:color w:val="auto"/>
              </w:rPr>
              <w:t>Item 7.</w:t>
            </w:r>
          </w:p>
        </w:tc>
        <w:tc>
          <w:tcPr>
            <w:tcW w:w="10000" w:type="dxa"/>
            <w:vAlign w:val="bottom"/>
            <w:gridSpan w:val="3"/>
          </w:tcPr>
          <w:p>
            <w:pPr>
              <w:ind w:left="520"/>
              <w:spacing w:after="0"/>
              <w:rPr>
                <w:sz w:val="20"/>
                <w:szCs w:val="20"/>
                <w:color w:val="auto"/>
              </w:rPr>
            </w:pPr>
            <w:r>
              <w:rPr>
                <w:rFonts w:ascii="Arial" w:cs="Arial" w:eastAsia="Arial" w:hAnsi="Arial"/>
                <w:sz w:val="20"/>
                <w:szCs w:val="20"/>
                <w:b w:val="1"/>
                <w:bCs w:val="1"/>
                <w:color w:val="auto"/>
              </w:rPr>
              <w:t>IDENTIFICATION AND CLASSIFICATION OF THE SUBSIDIARY WHICH ACQUIRED THE SECURITY</w:t>
            </w:r>
          </w:p>
        </w:tc>
      </w:tr>
      <w:tr>
        <w:trPr>
          <w:trHeight w:val="236"/>
        </w:trPr>
        <w:tc>
          <w:tcPr>
            <w:tcW w:w="1200" w:type="dxa"/>
            <w:vAlign w:val="bottom"/>
          </w:tcPr>
          <w:p>
            <w:pPr>
              <w:spacing w:after="0"/>
              <w:rPr>
                <w:sz w:val="20"/>
                <w:szCs w:val="20"/>
                <w:color w:val="auto"/>
              </w:rPr>
            </w:pPr>
          </w:p>
        </w:tc>
        <w:tc>
          <w:tcPr>
            <w:tcW w:w="10000" w:type="dxa"/>
            <w:vAlign w:val="bottom"/>
            <w:gridSpan w:val="3"/>
          </w:tcPr>
          <w:p>
            <w:pPr>
              <w:ind w:left="520"/>
              <w:spacing w:after="0"/>
              <w:rPr>
                <w:sz w:val="20"/>
                <w:szCs w:val="20"/>
                <w:color w:val="auto"/>
              </w:rPr>
            </w:pPr>
            <w:r>
              <w:rPr>
                <w:rFonts w:ascii="Arial" w:cs="Arial" w:eastAsia="Arial" w:hAnsi="Arial"/>
                <w:sz w:val="20"/>
                <w:szCs w:val="20"/>
                <w:b w:val="1"/>
                <w:bCs w:val="1"/>
                <w:color w:val="auto"/>
              </w:rPr>
              <w:t>BEING REPORTED ON BY THE PARENT HOLDING COMPANY OR CONTROL PERSON</w:t>
            </w:r>
          </w:p>
        </w:tc>
      </w:tr>
      <w:tr>
        <w:trPr>
          <w:trHeight w:val="250"/>
        </w:trPr>
        <w:tc>
          <w:tcPr>
            <w:tcW w:w="1200" w:type="dxa"/>
            <w:vAlign w:val="bottom"/>
          </w:tcPr>
          <w:p>
            <w:pPr>
              <w:spacing w:after="0"/>
              <w:rPr>
                <w:sz w:val="21"/>
                <w:szCs w:val="21"/>
                <w:color w:val="auto"/>
              </w:rPr>
            </w:pPr>
          </w:p>
        </w:tc>
        <w:tc>
          <w:tcPr>
            <w:tcW w:w="1760" w:type="dxa"/>
            <w:vAlign w:val="bottom"/>
            <w:gridSpan w:val="2"/>
          </w:tcPr>
          <w:p>
            <w:pPr>
              <w:ind w:left="520"/>
              <w:spacing w:after="0"/>
              <w:rPr>
                <w:sz w:val="20"/>
                <w:szCs w:val="20"/>
                <w:color w:val="auto"/>
              </w:rPr>
            </w:pPr>
            <w:r>
              <w:rPr>
                <w:rFonts w:ascii="Arial" w:cs="Arial" w:eastAsia="Arial" w:hAnsi="Arial"/>
                <w:sz w:val="20"/>
                <w:szCs w:val="20"/>
                <w:color w:val="auto"/>
                <w:w w:val="92"/>
              </w:rPr>
              <w:t>Not applicable.</w:t>
            </w:r>
          </w:p>
        </w:tc>
        <w:tc>
          <w:tcPr>
            <w:tcW w:w="8240" w:type="dxa"/>
            <w:vAlign w:val="bottom"/>
          </w:tcPr>
          <w:p>
            <w:pPr>
              <w:spacing w:after="0"/>
              <w:rPr>
                <w:sz w:val="21"/>
                <w:szCs w:val="21"/>
                <w:color w:val="auto"/>
              </w:rPr>
            </w:pPr>
          </w:p>
        </w:tc>
      </w:tr>
      <w:tr>
        <w:trPr>
          <w:trHeight w:val="438"/>
        </w:trPr>
        <w:tc>
          <w:tcPr>
            <w:tcW w:w="120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10000" w:type="dxa"/>
            <w:vAlign w:val="bottom"/>
            <w:gridSpan w:val="3"/>
          </w:tcPr>
          <w:p>
            <w:pPr>
              <w:ind w:left="520"/>
              <w:spacing w:after="0"/>
              <w:rPr>
                <w:sz w:val="20"/>
                <w:szCs w:val="20"/>
                <w:color w:val="auto"/>
              </w:rPr>
            </w:pPr>
            <w:r>
              <w:rPr>
                <w:rFonts w:ascii="Arial" w:cs="Arial" w:eastAsia="Arial" w:hAnsi="Arial"/>
                <w:sz w:val="20"/>
                <w:szCs w:val="20"/>
                <w:b w:val="1"/>
                <w:bCs w:val="1"/>
                <w:color w:val="auto"/>
              </w:rPr>
              <w:t>IDENTIFICATION AND CLASSIFICATION OF MEMBERS OF THE GROUP</w:t>
            </w:r>
          </w:p>
        </w:tc>
      </w:tr>
      <w:tr>
        <w:trPr>
          <w:trHeight w:val="250"/>
        </w:trPr>
        <w:tc>
          <w:tcPr>
            <w:tcW w:w="1200" w:type="dxa"/>
            <w:vAlign w:val="bottom"/>
          </w:tcPr>
          <w:p>
            <w:pPr>
              <w:spacing w:after="0"/>
              <w:rPr>
                <w:sz w:val="21"/>
                <w:szCs w:val="21"/>
                <w:color w:val="auto"/>
              </w:rPr>
            </w:pPr>
          </w:p>
        </w:tc>
        <w:tc>
          <w:tcPr>
            <w:tcW w:w="1760" w:type="dxa"/>
            <w:vAlign w:val="bottom"/>
            <w:gridSpan w:val="2"/>
          </w:tcPr>
          <w:p>
            <w:pPr>
              <w:ind w:left="520"/>
              <w:spacing w:after="0"/>
              <w:rPr>
                <w:sz w:val="20"/>
                <w:szCs w:val="20"/>
                <w:color w:val="auto"/>
              </w:rPr>
            </w:pPr>
            <w:r>
              <w:rPr>
                <w:rFonts w:ascii="Arial" w:cs="Arial" w:eastAsia="Arial" w:hAnsi="Arial"/>
                <w:sz w:val="20"/>
                <w:szCs w:val="20"/>
                <w:color w:val="auto"/>
                <w:w w:val="92"/>
              </w:rPr>
              <w:t>Not applicable.</w:t>
            </w:r>
          </w:p>
        </w:tc>
        <w:tc>
          <w:tcPr>
            <w:tcW w:w="8240" w:type="dxa"/>
            <w:vAlign w:val="bottom"/>
          </w:tcPr>
          <w:p>
            <w:pPr>
              <w:spacing w:after="0"/>
              <w:rPr>
                <w:sz w:val="21"/>
                <w:szCs w:val="21"/>
                <w:color w:val="auto"/>
              </w:rPr>
            </w:pPr>
          </w:p>
        </w:tc>
      </w:tr>
      <w:tr>
        <w:trPr>
          <w:trHeight w:val="438"/>
        </w:trPr>
        <w:tc>
          <w:tcPr>
            <w:tcW w:w="1200" w:type="dxa"/>
            <w:vAlign w:val="bottom"/>
          </w:tcPr>
          <w:p>
            <w:pPr>
              <w:spacing w:after="0"/>
              <w:rPr>
                <w:sz w:val="20"/>
                <w:szCs w:val="20"/>
                <w:color w:val="auto"/>
              </w:rPr>
            </w:pPr>
            <w:r>
              <w:rPr>
                <w:rFonts w:ascii="Arial" w:cs="Arial" w:eastAsia="Arial" w:hAnsi="Arial"/>
                <w:sz w:val="20"/>
                <w:szCs w:val="20"/>
                <w:b w:val="1"/>
                <w:bCs w:val="1"/>
                <w:color w:val="auto"/>
              </w:rPr>
              <w:t>Item 9.</w:t>
            </w:r>
          </w:p>
        </w:tc>
        <w:tc>
          <w:tcPr>
            <w:tcW w:w="10000" w:type="dxa"/>
            <w:vAlign w:val="bottom"/>
            <w:gridSpan w:val="3"/>
          </w:tcPr>
          <w:p>
            <w:pPr>
              <w:ind w:left="520"/>
              <w:spacing w:after="0"/>
              <w:rPr>
                <w:sz w:val="20"/>
                <w:szCs w:val="20"/>
                <w:color w:val="auto"/>
              </w:rPr>
            </w:pPr>
            <w:r>
              <w:rPr>
                <w:rFonts w:ascii="Arial" w:cs="Arial" w:eastAsia="Arial" w:hAnsi="Arial"/>
                <w:sz w:val="20"/>
                <w:szCs w:val="20"/>
                <w:b w:val="1"/>
                <w:bCs w:val="1"/>
                <w:color w:val="auto"/>
              </w:rPr>
              <w:t>NOTICE OF DISSOLUTION OF GROUP</w:t>
            </w:r>
          </w:p>
        </w:tc>
      </w:tr>
      <w:tr>
        <w:trPr>
          <w:trHeight w:val="250"/>
        </w:trPr>
        <w:tc>
          <w:tcPr>
            <w:tcW w:w="1200" w:type="dxa"/>
            <w:vAlign w:val="bottom"/>
          </w:tcPr>
          <w:p>
            <w:pPr>
              <w:spacing w:after="0"/>
              <w:rPr>
                <w:sz w:val="21"/>
                <w:szCs w:val="21"/>
                <w:color w:val="auto"/>
              </w:rPr>
            </w:pPr>
          </w:p>
        </w:tc>
        <w:tc>
          <w:tcPr>
            <w:tcW w:w="1760" w:type="dxa"/>
            <w:vAlign w:val="bottom"/>
            <w:gridSpan w:val="2"/>
          </w:tcPr>
          <w:p>
            <w:pPr>
              <w:ind w:left="520"/>
              <w:spacing w:after="0"/>
              <w:rPr>
                <w:sz w:val="20"/>
                <w:szCs w:val="20"/>
                <w:color w:val="auto"/>
              </w:rPr>
            </w:pPr>
            <w:r>
              <w:rPr>
                <w:rFonts w:ascii="Arial" w:cs="Arial" w:eastAsia="Arial" w:hAnsi="Arial"/>
                <w:sz w:val="20"/>
                <w:szCs w:val="20"/>
                <w:color w:val="auto"/>
                <w:w w:val="92"/>
              </w:rPr>
              <w:t>Not applicable.</w:t>
            </w:r>
          </w:p>
        </w:tc>
        <w:tc>
          <w:tcPr>
            <w:tcW w:w="8240" w:type="dxa"/>
            <w:vAlign w:val="bottom"/>
          </w:tcPr>
          <w:p>
            <w:pPr>
              <w:spacing w:after="0"/>
              <w:rPr>
                <w:sz w:val="21"/>
                <w:szCs w:val="21"/>
                <w:color w:val="auto"/>
              </w:rPr>
            </w:pPr>
          </w:p>
        </w:tc>
      </w:tr>
      <w:tr>
        <w:trPr>
          <w:trHeight w:val="438"/>
        </w:trPr>
        <w:tc>
          <w:tcPr>
            <w:tcW w:w="120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10000" w:type="dxa"/>
            <w:vAlign w:val="bottom"/>
            <w:gridSpan w:val="3"/>
          </w:tcPr>
          <w:p>
            <w:pPr>
              <w:ind w:left="520"/>
              <w:spacing w:after="0"/>
              <w:rPr>
                <w:sz w:val="20"/>
                <w:szCs w:val="20"/>
                <w:color w:val="auto"/>
              </w:rPr>
            </w:pPr>
            <w:r>
              <w:rPr>
                <w:rFonts w:ascii="Arial" w:cs="Arial" w:eastAsia="Arial" w:hAnsi="Arial"/>
                <w:sz w:val="20"/>
                <w:szCs w:val="20"/>
                <w:b w:val="1"/>
                <w:bCs w:val="1"/>
                <w:color w:val="auto"/>
              </w:rPr>
              <w:t>CERTIFICATION</w:t>
            </w:r>
          </w:p>
        </w:tc>
      </w:tr>
      <w:tr>
        <w:trPr>
          <w:trHeight w:val="250"/>
        </w:trPr>
        <w:tc>
          <w:tcPr>
            <w:tcW w:w="1200" w:type="dxa"/>
            <w:vAlign w:val="bottom"/>
          </w:tcPr>
          <w:p>
            <w:pPr>
              <w:spacing w:after="0"/>
              <w:rPr>
                <w:sz w:val="21"/>
                <w:szCs w:val="21"/>
                <w:color w:val="auto"/>
              </w:rPr>
            </w:pPr>
          </w:p>
        </w:tc>
        <w:tc>
          <w:tcPr>
            <w:tcW w:w="10000" w:type="dxa"/>
            <w:vAlign w:val="bottom"/>
            <w:gridSpan w:val="3"/>
          </w:tcPr>
          <w:p>
            <w:pPr>
              <w:ind w:left="520"/>
              <w:spacing w:after="0"/>
              <w:rPr>
                <w:sz w:val="20"/>
                <w:szCs w:val="20"/>
                <w:color w:val="auto"/>
              </w:rPr>
            </w:pPr>
            <w:r>
              <w:rPr>
                <w:rFonts w:ascii="Arial" w:cs="Arial" w:eastAsia="Arial" w:hAnsi="Arial"/>
                <w:sz w:val="20"/>
                <w:szCs w:val="20"/>
                <w:color w:val="auto"/>
              </w:rPr>
              <w:t>The Reporting Person hereby makes the following certification:</w:t>
            </w:r>
          </w:p>
        </w:tc>
      </w:tr>
    </w:tbl>
    <w:p>
      <w:pPr>
        <w:spacing w:after="0" w:line="209" w:lineRule="exact"/>
        <w:rPr>
          <w:sz w:val="20"/>
          <w:szCs w:val="20"/>
          <w:color w:val="auto"/>
        </w:rPr>
      </w:pPr>
    </w:p>
    <w:p>
      <w:pPr>
        <w:ind w:left="1820" w:right="160"/>
        <w:spacing w:after="0" w:line="263" w:lineRule="auto"/>
        <w:rPr>
          <w:sz w:val="20"/>
          <w:szCs w:val="20"/>
          <w:color w:val="auto"/>
        </w:rPr>
      </w:pPr>
      <w:r>
        <w:rPr>
          <w:rFonts w:ascii="Arial" w:cs="Arial" w:eastAsia="Arial" w:hAnsi="Arial"/>
          <w:sz w:val="19"/>
          <w:szCs w:val="19"/>
          <w:color w:val="auto"/>
        </w:rPr>
        <w:t>By signing below the Reporting Person certifies that, to the best of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9" w:right="239" w:bottom="1440" w:gutter="0" w:footer="0" w:header="0"/>
          <w:type w:val="continuous"/>
        </w:sectPr>
      </w:pPr>
    </w:p>
    <w:bookmarkStart w:id="4" w:name="page5"/>
    <w:bookmarkEnd w:id="4"/>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98980L101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5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knowledge and belief,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14,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HILLHOUSE CAPITAL MANAGEMENT, LTD.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Richard A. Hornung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Richard A. Hornung</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General Counsel and Chief Compliance Officer</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ý"/>
      <w:numFmt w:val="bullet"/>
      <w:start w:val="1"/>
    </w:lvl>
  </w:abstractNum>
  <w:abstractNum w:abstractNumId="1">
    <w:nsid w:val="66334873"/>
    <w:multiLevelType w:val="hybridMultilevel"/>
    <w:lvl w:ilvl="0">
      <w:lvlJc w:val="left"/>
      <w:lvlText w:val="3"/>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2020-02-14T16:11:33Z</dcterms:created>
  <dcterms:modified xsi:type="dcterms:W3CDTF">2020-02-14T16:11:33Z</dcterms:modified>
</cp:coreProperties>
</file>