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47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47080"/>
                    </a:xfrm>
                    <a:prstGeom prst="rect">
                      <a:avLst/>
                    </a:prstGeom>
                    <a:noFill/>
                  </pic:spPr>
                </pic:pic>
              </a:graphicData>
            </a:graphic>
          </wp:anchor>
        </w:drawing>
      </w:r>
    </w:p>
    <w:p>
      <w:pPr>
        <w:spacing w:after="0" w:line="1222" w:lineRule="exact"/>
        <w:rPr>
          <w:sz w:val="24"/>
          <w:szCs w:val="24"/>
          <w:color w:val="auto"/>
        </w:rPr>
      </w:pPr>
    </w:p>
    <w:p>
      <w:pPr>
        <w:sectPr>
          <w:pgSz w:w="11900" w:h="1699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Subotovsky Santiago</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 Communications,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03/04/2026</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 ALMADEN BLVD, #600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9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9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2"/>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03/04/2026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rPr>
              <w:t>278</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75.5644</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155,639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03/04/2026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rPr>
              <w:t>348</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76.4918</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155,291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03/04/2026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1,205</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77.694</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154,086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03/04/2026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rPr>
              <w:t>644</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78.2168</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153,442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2,388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December 19, 2024</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$75.105 to $76.095.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$76.155 to $77.065.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$77.140 to $78.090.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$78.105 to $78.365.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Subotovsky Mann Family Trust, of which the Reporting Person is a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9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2026-03-06T16:29:43Z</dcterms:created>
  <dcterms:modified xsi:type="dcterms:W3CDTF">2026-03-06T16:29:43Z</dcterms:modified>
</cp:coreProperties>
</file>