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40" w:hanging="205"/>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40" w:hanging="205"/>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40" w:hanging="205"/>
        <w:spacing w:after="0"/>
        <w:tabs>
          <w:tab w:leader="none" w:pos="12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20" w:type="dxa"/>
            <w:vAlign w:val="bottom"/>
          </w:tcPr>
          <w:p>
            <w:pPr>
              <w:ind w:left="1000"/>
              <w:spacing w:after="0"/>
              <w:rPr>
                <w:sz w:val="20"/>
                <w:szCs w:val="20"/>
                <w:color w:val="auto"/>
              </w:rPr>
            </w:pPr>
            <w:r>
              <w:rPr>
                <w:rFonts w:ascii="Arial" w:cs="Arial" w:eastAsia="Arial" w:hAnsi="Arial"/>
                <w:sz w:val="18"/>
                <w:szCs w:val="18"/>
                <w:color w:val="auto"/>
              </w:rPr>
              <w:t>Page 2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Emergence Capital Partners III, L.P.</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8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68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25,618,216 (1)(2)</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25,618,216 (1)(2)</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25,618,216 (1)(2)</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17.9% (2)(3)(4)</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25,618,216 shares of Class B Common Stock held directly by Emergence Capital Partners III, L.P.</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25,618,216 shares of Class B Common Stock held by Emergence Capital Partners III, L.P. represents 14.9%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4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60" w:type="dxa"/>
            <w:vAlign w:val="bottom"/>
          </w:tcPr>
          <w:p>
            <w:pPr>
              <w:ind w:left="1040"/>
              <w:spacing w:after="0"/>
              <w:rPr>
                <w:sz w:val="20"/>
                <w:szCs w:val="20"/>
                <w:color w:val="auto"/>
              </w:rPr>
            </w:pPr>
            <w:r>
              <w:rPr>
                <w:rFonts w:ascii="Arial" w:cs="Arial" w:eastAsia="Arial" w:hAnsi="Arial"/>
                <w:sz w:val="18"/>
                <w:szCs w:val="18"/>
                <w:color w:val="auto"/>
              </w:rPr>
              <w:t>Page 3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EZP Opportunity, L.P.</w:t>
            </w: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18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40" w:type="dxa"/>
            <w:vAlign w:val="bottom"/>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6640" w:type="dxa"/>
            <w:vAlign w:val="bottom"/>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4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3,120,609 (1)(2)</w:t>
            </w: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2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4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3,120,609 (1)(2)</w:t>
            </w:r>
          </w:p>
        </w:tc>
        <w:tc>
          <w:tcPr>
            <w:tcW w:w="2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jc w:val="center"/>
              <w:ind w:right="254"/>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40" w:type="dxa"/>
            <w:vAlign w:val="bottom"/>
            <w:vMerge w:val="continue"/>
          </w:tcPr>
          <w:p>
            <w:pPr>
              <w:spacing w:after="0"/>
              <w:rPr>
                <w:sz w:val="7"/>
                <w:szCs w:val="7"/>
                <w:color w:val="auto"/>
              </w:rPr>
            </w:pPr>
          </w:p>
        </w:tc>
        <w:tc>
          <w:tcPr>
            <w:tcW w:w="2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3,120,609 (1)(2)</w:t>
            </w:r>
          </w:p>
        </w:tc>
        <w:tc>
          <w:tcPr>
            <w:tcW w:w="664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4"/>
              </w:rPr>
              <w:t>2.6% (2)(3)(4)</w:t>
            </w: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2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3,120,609 shares of Class B Common Stock held directly by EZP Opportunity, L.P.</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3,120,609 shares of Class B Common Stock held by EZP Opportunity, L.P. represents 1.8%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20" w:type="dxa"/>
            <w:vAlign w:val="bottom"/>
          </w:tcPr>
          <w:p>
            <w:pPr>
              <w:ind w:left="1000"/>
              <w:spacing w:after="0"/>
              <w:rPr>
                <w:sz w:val="20"/>
                <w:szCs w:val="20"/>
                <w:color w:val="auto"/>
              </w:rPr>
            </w:pPr>
            <w:r>
              <w:rPr>
                <w:rFonts w:ascii="Arial" w:cs="Arial" w:eastAsia="Arial" w:hAnsi="Arial"/>
                <w:sz w:val="18"/>
                <w:szCs w:val="18"/>
                <w:color w:val="auto"/>
              </w:rPr>
              <w:t>Page 4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Emergence Equity Partners III, L.P.</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8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68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28,738,825 (1)(2)</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28,738,825 (1)(2)</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28,738,825 (1)(2)</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19.7% (2)(3)(4)</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8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28,738,825 shares of Class B Common Stock held directly by Emergence Capital Partners III, L.P. (“</w:t>
      </w:r>
      <w:r>
        <w:rPr>
          <w:rFonts w:ascii="Arial" w:cs="Arial" w:eastAsia="Arial" w:hAnsi="Arial"/>
          <w:sz w:val="18"/>
          <w:szCs w:val="18"/>
          <w:b w:val="1"/>
          <w:bCs w:val="1"/>
          <w:u w:val="single" w:color="auto"/>
          <w:color w:val="auto"/>
        </w:rPr>
        <w:t>ECP III</w:t>
      </w:r>
      <w:r>
        <w:rPr>
          <w:rFonts w:ascii="Arial" w:cs="Arial" w:eastAsia="Arial" w:hAnsi="Arial"/>
          <w:sz w:val="18"/>
          <w:szCs w:val="18"/>
          <w:color w:val="auto"/>
        </w:rPr>
        <w:t>”) and EZP Opportunity, L.P. (“</w:t>
      </w:r>
      <w:r>
        <w:rPr>
          <w:rFonts w:ascii="Arial" w:cs="Arial" w:eastAsia="Arial" w:hAnsi="Arial"/>
          <w:sz w:val="18"/>
          <w:szCs w:val="18"/>
          <w:b w:val="1"/>
          <w:bCs w:val="1"/>
          <w:u w:val="single" w:color="auto"/>
          <w:color w:val="auto"/>
        </w:rPr>
        <w:t>EZP</w:t>
      </w:r>
      <w:r>
        <w:rPr>
          <w:rFonts w:ascii="Arial" w:cs="Arial" w:eastAsia="Arial" w:hAnsi="Arial"/>
          <w:sz w:val="18"/>
          <w:szCs w:val="18"/>
          <w:color w:val="auto"/>
        </w:rPr>
        <w:t>”) Emergence Equity Partners III, L.P. is the sole general partner of ECP III and EZP, and may be deemed to beneficially own the shares of stock held directly by each ECP III and EZP.</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20" w:type="dxa"/>
            <w:vAlign w:val="bottom"/>
          </w:tcPr>
          <w:p>
            <w:pPr>
              <w:ind w:left="1000"/>
              <w:spacing w:after="0"/>
              <w:rPr>
                <w:sz w:val="20"/>
                <w:szCs w:val="20"/>
                <w:color w:val="auto"/>
              </w:rPr>
            </w:pPr>
            <w:r>
              <w:rPr>
                <w:rFonts w:ascii="Arial" w:cs="Arial" w:eastAsia="Arial" w:hAnsi="Arial"/>
                <w:sz w:val="18"/>
                <w:szCs w:val="18"/>
                <w:color w:val="auto"/>
              </w:rPr>
              <w:t>Page 5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Emergence GP Partners, LLC</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8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68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w w:val="92"/>
              </w:rPr>
              <w:t>28,738,825 (1)(2)</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19.7% (2)(3)(4)</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4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28,738,825 shares of Class B Common Stock held directly by ECP III and EZP. Emergence GP Partners, LLC is the sole general partner of Emergence Equity Partners III, L.P., which is the sole general partner of ECP III and EZP, and may be deemed to beneficially own the shares of stock held directly by ECP III and EZP.</w:t>
      </w:r>
    </w:p>
    <w:p>
      <w:pPr>
        <w:ind w:left="460" w:right="2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20" w:type="dxa"/>
            <w:vAlign w:val="bottom"/>
          </w:tcPr>
          <w:p>
            <w:pPr>
              <w:ind w:left="1000"/>
              <w:spacing w:after="0"/>
              <w:rPr>
                <w:sz w:val="20"/>
                <w:szCs w:val="20"/>
                <w:color w:val="auto"/>
              </w:rPr>
            </w:pPr>
            <w:r>
              <w:rPr>
                <w:rFonts w:ascii="Arial" w:cs="Arial" w:eastAsia="Arial" w:hAnsi="Arial"/>
                <w:sz w:val="18"/>
                <w:szCs w:val="18"/>
                <w:color w:val="auto"/>
              </w:rPr>
              <w:t>Page 6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Gordon Ritter</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8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68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United States of America</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w w:val="92"/>
              </w:rPr>
              <w:t>28,738,825 (1)(2)</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19.7% (2)(3)(4)</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28,738,825 shares of Class B Common Stock held directly by ECP III and EZP.</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7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CUSIP No. 98980L101</w:t>
            </w:r>
          </w:p>
        </w:tc>
        <w:tc>
          <w:tcPr>
            <w:tcW w:w="300" w:type="dxa"/>
            <w:vAlign w:val="bottom"/>
          </w:tcPr>
          <w:p>
            <w:pPr>
              <w:spacing w:after="0"/>
              <w:rPr>
                <w:sz w:val="20"/>
                <w:szCs w:val="20"/>
                <w:color w:val="auto"/>
              </w:rPr>
            </w:pPr>
          </w:p>
        </w:tc>
        <w:tc>
          <w:tcPr>
            <w:tcW w:w="668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720" w:type="dxa"/>
            <w:vAlign w:val="bottom"/>
          </w:tcPr>
          <w:p>
            <w:pPr>
              <w:ind w:left="1000"/>
              <w:spacing w:after="0"/>
              <w:rPr>
                <w:sz w:val="20"/>
                <w:szCs w:val="20"/>
                <w:color w:val="auto"/>
              </w:rPr>
            </w:pPr>
            <w:r>
              <w:rPr>
                <w:rFonts w:ascii="Arial" w:cs="Arial" w:eastAsia="Arial" w:hAnsi="Arial"/>
                <w:sz w:val="18"/>
                <w:szCs w:val="18"/>
                <w:color w:val="auto"/>
              </w:rPr>
              <w:t>Page 7 of 11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Jason Green</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8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68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8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United States of America</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66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20"/>
                <w:szCs w:val="20"/>
                <w:color w:val="auto"/>
              </w:rPr>
            </w:pPr>
          </w:p>
        </w:tc>
        <w:tc>
          <w:tcPr>
            <w:tcW w:w="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66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tcPr>
          <w:p>
            <w:pPr>
              <w:jc w:val="center"/>
              <w:ind w:right="154"/>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right w:val="single" w:sz="8" w:color="auto"/>
            </w:tcBorders>
          </w:tcPr>
          <w:p>
            <w:pPr>
              <w:jc w:val="center"/>
              <w:ind w:right="25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3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66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8"/>
                <w:szCs w:val="18"/>
                <w:color w:val="auto"/>
              </w:rPr>
              <w:t>28,738,825 (1)(2)</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66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w w:val="92"/>
              </w:rPr>
              <w:t>28,738,825 (1)(2)</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19.7% (2)(3)(4)</w:t>
            </w: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28,738,825 shares of Class B Common Stock held directly by ECP III and EZP.</w:t>
      </w:r>
    </w:p>
    <w:p>
      <w:pPr>
        <w:spacing w:after="0" w:line="2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(i) 117,334,439 shares of Class A Common Stock and (ii) 160,060,070 shares of Class B Common Stock outstanding as of December 31, 2019, as provided by the Issuer to the reporting person on January 17, 2020.</w:t>
      </w:r>
    </w:p>
    <w:p>
      <w:pPr>
        <w:ind w:left="460" w:right="160" w:hanging="452"/>
        <w:spacing w:after="0" w:line="270"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ectPr>
          <w:pgSz w:w="11900" w:h="16838" w:orient="portrait"/>
          <w:cols w:equalWidth="0" w:num="1">
            <w:col w:w="11440"/>
          </w:cols>
          <w:pgMar w:left="240" w:top="274" w:right="219" w:bottom="1440" w:gutter="0" w:footer="0" w:header="0"/>
        </w:sectPr>
      </w:pPr>
    </w:p>
    <w:bookmarkStart w:id="7" w:name="page8"/>
    <w:bookmarkEnd w:id="7"/>
    <w:p>
      <w:pPr>
        <w:spacing w:after="0"/>
        <w:tabs>
          <w:tab w:leader="none" w:pos="5180" w:val="left"/>
          <w:tab w:leader="none" w:pos="9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8 of 11 Pages</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121" w:lineRule="exact"/>
        <w:rPr>
          <w:sz w:val="20"/>
          <w:szCs w:val="20"/>
          <w:color w:val="auto"/>
        </w:rPr>
      </w:pPr>
    </w:p>
    <w:p>
      <w:pPr>
        <w:ind w:left="1460" w:hanging="669"/>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460" w:hanging="669"/>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55 Almaden Boulevard</w:t>
      </w:r>
    </w:p>
    <w:p>
      <w:pPr>
        <w:spacing w:after="0" w:line="22"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San Jose, California 95113</w:t>
      </w:r>
    </w:p>
    <w:p>
      <w:pPr>
        <w:spacing w:after="0" w:line="3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40" w:hanging="24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Name of Persons Filing; Address; Citizenship:</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(c)</w:t>
      </w:r>
    </w:p>
    <w:p>
      <w:pPr>
        <w:spacing w:after="0" w:line="102" w:lineRule="exact"/>
        <w:rPr>
          <w:rFonts w:ascii="Arial" w:cs="Arial" w:eastAsia="Arial" w:hAnsi="Arial"/>
          <w:sz w:val="18"/>
          <w:szCs w:val="18"/>
          <w:color w:val="auto"/>
        </w:rPr>
      </w:pPr>
    </w:p>
    <w:p>
      <w:pPr>
        <w:ind w:left="2180" w:hanging="353"/>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Emergence Capital Partners III, L.P., a Delaware limited partnership;</w:t>
      </w:r>
    </w:p>
    <w:p>
      <w:pPr>
        <w:spacing w:after="0" w:line="130" w:lineRule="exact"/>
        <w:rPr>
          <w:rFonts w:ascii="Arial" w:cs="Arial" w:eastAsia="Arial" w:hAnsi="Arial"/>
          <w:sz w:val="18"/>
          <w:szCs w:val="18"/>
          <w:color w:val="auto"/>
        </w:rPr>
      </w:pPr>
    </w:p>
    <w:p>
      <w:pPr>
        <w:ind w:left="2180" w:hanging="353"/>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EZP Opportunity, L.P., a Delaware limited partnership;</w:t>
      </w:r>
    </w:p>
    <w:p>
      <w:pPr>
        <w:spacing w:after="0" w:line="130" w:lineRule="exact"/>
        <w:rPr>
          <w:rFonts w:ascii="Arial" w:cs="Arial" w:eastAsia="Arial" w:hAnsi="Arial"/>
          <w:sz w:val="18"/>
          <w:szCs w:val="18"/>
          <w:color w:val="auto"/>
        </w:rPr>
      </w:pPr>
    </w:p>
    <w:p>
      <w:pPr>
        <w:ind w:left="2160" w:hanging="333"/>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Emergence Equity Partners III, L.P., a Delaware limited partnership;</w:t>
      </w:r>
    </w:p>
    <w:p>
      <w:pPr>
        <w:spacing w:after="0" w:line="130" w:lineRule="exact"/>
        <w:rPr>
          <w:rFonts w:ascii="Arial" w:cs="Arial" w:eastAsia="Arial" w:hAnsi="Arial"/>
          <w:sz w:val="18"/>
          <w:szCs w:val="18"/>
          <w:color w:val="auto"/>
        </w:rPr>
      </w:pPr>
    </w:p>
    <w:p>
      <w:pPr>
        <w:ind w:left="2180" w:hanging="353"/>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Emergence GP Partners, LLC, a Delaware limited liability company;</w:t>
      </w:r>
    </w:p>
    <w:p>
      <w:pPr>
        <w:spacing w:after="0" w:line="130" w:lineRule="exact"/>
        <w:rPr>
          <w:rFonts w:ascii="Arial" w:cs="Arial" w:eastAsia="Arial" w:hAnsi="Arial"/>
          <w:sz w:val="18"/>
          <w:szCs w:val="18"/>
          <w:color w:val="auto"/>
        </w:rPr>
      </w:pPr>
    </w:p>
    <w:p>
      <w:pPr>
        <w:ind w:left="2180" w:hanging="353"/>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Gordon Ritter, a citizen of the United States of America; and</w:t>
      </w:r>
    </w:p>
    <w:p>
      <w:pPr>
        <w:spacing w:after="0" w:line="130" w:lineRule="exact"/>
        <w:rPr>
          <w:rFonts w:ascii="Arial" w:cs="Arial" w:eastAsia="Arial" w:hAnsi="Arial"/>
          <w:sz w:val="18"/>
          <w:szCs w:val="18"/>
          <w:color w:val="auto"/>
        </w:rPr>
      </w:pPr>
    </w:p>
    <w:p>
      <w:pPr>
        <w:ind w:left="2180" w:hanging="353"/>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Jason Green, a citizen of the United States of America</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address of the principal business office of each of the reporting persons are 160 Bovet Road, Suite 300, San Mateo, California 94402.</w:t>
      </w:r>
    </w:p>
    <w:p>
      <w:pPr>
        <w:spacing w:after="0" w:line="131" w:lineRule="exact"/>
        <w:rPr>
          <w:sz w:val="20"/>
          <w:szCs w:val="20"/>
          <w:color w:val="auto"/>
        </w:rPr>
      </w:pPr>
    </w:p>
    <w:p>
      <w:pPr>
        <w:ind w:left="1460" w:hanging="669"/>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460" w:right="8740" w:hanging="669"/>
        <w:spacing w:after="0" w:line="483"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200" w:right="700" w:hanging="1409"/>
        <w:spacing w:after="0" w:line="223" w:lineRule="exact"/>
        <w:tabs>
          <w:tab w:leader="none" w:pos="146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5"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460" w:hanging="669"/>
        <w:spacing w:after="0" w:line="207" w:lineRule="exact"/>
        <w:tabs>
          <w:tab w:leader="none" w:pos="146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400"/>
          </w:cols>
          <w:pgMar w:left="240" w:top="274" w:right="259" w:bottom="1440" w:gutter="0" w:footer="0" w:header="0"/>
        </w:sectPr>
      </w:pPr>
    </w:p>
    <w:bookmarkStart w:id="8" w:name="page9"/>
    <w:bookmarkEnd w:id="8"/>
    <w:p>
      <w:pPr>
        <w:spacing w:after="0"/>
        <w:tabs>
          <w:tab w:leader="none" w:pos="5180" w:val="left"/>
          <w:tab w:leader="none" w:pos="9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9 of 11 Pages</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60" w:hanging="24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3" w:lineRule="exact"/>
        <w:rPr>
          <w:rFonts w:ascii="Arial" w:cs="Arial" w:eastAsia="Arial" w:hAnsi="Arial"/>
          <w:sz w:val="18"/>
          <w:szCs w:val="18"/>
          <w:color w:val="auto"/>
        </w:rPr>
      </w:pPr>
    </w:p>
    <w:p>
      <w:pPr>
        <w:ind w:left="2080" w:right="40" w:hanging="357"/>
        <w:spacing w:after="0" w:line="255" w:lineRule="auto"/>
        <w:tabs>
          <w:tab w:leader="none" w:pos="20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Emergence Capital Partners III, L.P. (“</w:t>
      </w:r>
      <w:r>
        <w:rPr>
          <w:rFonts w:ascii="Arial" w:cs="Arial" w:eastAsia="Arial" w:hAnsi="Arial"/>
          <w:sz w:val="18"/>
          <w:szCs w:val="18"/>
          <w:b w:val="1"/>
          <w:bCs w:val="1"/>
          <w:u w:val="single" w:color="auto"/>
          <w:color w:val="auto"/>
        </w:rPr>
        <w:t>ECP III</w:t>
      </w:r>
      <w:r>
        <w:rPr>
          <w:rFonts w:ascii="Arial" w:cs="Arial" w:eastAsia="Arial" w:hAnsi="Arial"/>
          <w:sz w:val="18"/>
          <w:szCs w:val="18"/>
          <w:color w:val="auto"/>
        </w:rPr>
        <w:t>”) directly owns 25,618,216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17.9%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25,618,216 shares of Class B Common Stock held by ECP III represents 14.9% of the aggregate combined voting power of the Class A Common Stock and Class B Common Stock.</w:t>
      </w:r>
    </w:p>
    <w:p>
      <w:pPr>
        <w:spacing w:after="0" w:line="77" w:lineRule="exact"/>
        <w:rPr>
          <w:rFonts w:ascii="Arial" w:cs="Arial" w:eastAsia="Arial" w:hAnsi="Arial"/>
          <w:sz w:val="18"/>
          <w:szCs w:val="18"/>
          <w:color w:val="auto"/>
        </w:rPr>
      </w:pPr>
    </w:p>
    <w:p>
      <w:pPr>
        <w:ind w:left="2080" w:right="80" w:hanging="357"/>
        <w:spacing w:after="0" w:line="292" w:lineRule="auto"/>
        <w:tabs>
          <w:tab w:leader="none" w:pos="2066" w:val="left"/>
        </w:tabs>
        <w:numPr>
          <w:ilvl w:val="1"/>
          <w:numId w:val="13"/>
        </w:numPr>
        <w:rPr>
          <w:rFonts w:ascii="Arial" w:cs="Arial" w:eastAsia="Arial" w:hAnsi="Arial"/>
          <w:sz w:val="16"/>
          <w:szCs w:val="16"/>
          <w:color w:val="auto"/>
        </w:rPr>
      </w:pPr>
      <w:r>
        <w:rPr>
          <w:rFonts w:ascii="Arial" w:cs="Arial" w:eastAsia="Arial" w:hAnsi="Arial"/>
          <w:sz w:val="16"/>
          <w:szCs w:val="16"/>
          <w:color w:val="auto"/>
        </w:rPr>
        <w:t>EZP Opportunity, L.P. (“</w:t>
      </w:r>
      <w:r>
        <w:rPr>
          <w:rFonts w:ascii="Arial" w:cs="Arial" w:eastAsia="Arial" w:hAnsi="Arial"/>
          <w:sz w:val="16"/>
          <w:szCs w:val="16"/>
          <w:b w:val="1"/>
          <w:bCs w:val="1"/>
          <w:u w:val="single" w:color="auto"/>
          <w:color w:val="auto"/>
        </w:rPr>
        <w:t>EZP</w:t>
      </w:r>
      <w:r>
        <w:rPr>
          <w:rFonts w:ascii="Arial" w:cs="Arial" w:eastAsia="Arial" w:hAnsi="Arial"/>
          <w:sz w:val="16"/>
          <w:szCs w:val="16"/>
          <w:color w:val="auto"/>
        </w:rPr>
        <w:t>”) directly owns 3,120,609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2.6%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3,120,609 shares of Class B Common Stock held by EZP represents 1.8% of the aggregate combined voting power of the Class A Common Stock and Class B Common Stock.</w:t>
      </w:r>
    </w:p>
    <w:p>
      <w:pPr>
        <w:spacing w:after="0" w:line="53" w:lineRule="exact"/>
        <w:rPr>
          <w:rFonts w:ascii="Arial" w:cs="Arial" w:eastAsia="Arial" w:hAnsi="Arial"/>
          <w:sz w:val="16"/>
          <w:szCs w:val="16"/>
          <w:color w:val="auto"/>
        </w:rPr>
      </w:pPr>
    </w:p>
    <w:p>
      <w:pPr>
        <w:ind w:left="2080" w:right="40" w:hanging="357"/>
        <w:spacing w:after="0" w:line="291" w:lineRule="auto"/>
        <w:tabs>
          <w:tab w:leader="none" w:pos="2062" w:val="left"/>
        </w:tabs>
        <w:numPr>
          <w:ilvl w:val="1"/>
          <w:numId w:val="13"/>
        </w:numPr>
        <w:rPr>
          <w:rFonts w:ascii="Arial" w:cs="Arial" w:eastAsia="Arial" w:hAnsi="Arial"/>
          <w:sz w:val="16"/>
          <w:szCs w:val="16"/>
          <w:color w:val="auto"/>
        </w:rPr>
      </w:pPr>
      <w:r>
        <w:rPr>
          <w:rFonts w:ascii="Arial" w:cs="Arial" w:eastAsia="Arial" w:hAnsi="Arial"/>
          <w:sz w:val="16"/>
          <w:szCs w:val="16"/>
          <w:color w:val="auto"/>
        </w:rPr>
        <w:t>Emergence Equity Partners III, L.P. (“</w:t>
      </w:r>
      <w:r>
        <w:rPr>
          <w:rFonts w:ascii="Arial" w:cs="Arial" w:eastAsia="Arial" w:hAnsi="Arial"/>
          <w:sz w:val="16"/>
          <w:szCs w:val="16"/>
          <w:b w:val="1"/>
          <w:bCs w:val="1"/>
          <w:u w:val="single" w:color="auto"/>
          <w:color w:val="auto"/>
        </w:rPr>
        <w:t>EEP III</w:t>
      </w:r>
      <w:r>
        <w:rPr>
          <w:rFonts w:ascii="Arial" w:cs="Arial" w:eastAsia="Arial" w:hAnsi="Arial"/>
          <w:sz w:val="16"/>
          <w:szCs w:val="16"/>
          <w:color w:val="auto"/>
        </w:rPr>
        <w:t>”) is the sole general partner of ECP III and EZP, and may be deemed to beneficially own 28,738,825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19.7%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pacing w:after="0" w:line="52" w:lineRule="exact"/>
        <w:rPr>
          <w:rFonts w:ascii="Arial" w:cs="Arial" w:eastAsia="Arial" w:hAnsi="Arial"/>
          <w:sz w:val="16"/>
          <w:szCs w:val="16"/>
          <w:color w:val="auto"/>
        </w:rPr>
      </w:pPr>
    </w:p>
    <w:p>
      <w:pPr>
        <w:ind w:left="2080" w:right="80" w:hanging="357"/>
        <w:spacing w:after="0" w:line="291" w:lineRule="auto"/>
        <w:tabs>
          <w:tab w:leader="none" w:pos="20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Emergence GP Partners, LLC (“</w:t>
      </w:r>
      <w:r>
        <w:rPr>
          <w:rFonts w:ascii="Arial" w:cs="Arial" w:eastAsia="Arial" w:hAnsi="Arial"/>
          <w:sz w:val="16"/>
          <w:szCs w:val="16"/>
          <w:b w:val="1"/>
          <w:bCs w:val="1"/>
          <w:u w:val="single" w:color="auto"/>
          <w:color w:val="auto"/>
        </w:rPr>
        <w:t>EGP</w:t>
      </w:r>
      <w:r>
        <w:rPr>
          <w:rFonts w:ascii="Arial" w:cs="Arial" w:eastAsia="Arial" w:hAnsi="Arial"/>
          <w:sz w:val="16"/>
          <w:szCs w:val="16"/>
          <w:color w:val="auto"/>
        </w:rPr>
        <w:t>”) is the sole general partner of EEP III, which is the sole general partner of ECP III and EZP, and may be deemed to beneficially own 28,738,825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19.7%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pacing w:after="0" w:line="52" w:lineRule="exact"/>
        <w:rPr>
          <w:rFonts w:ascii="Arial" w:cs="Arial" w:eastAsia="Arial" w:hAnsi="Arial"/>
          <w:sz w:val="16"/>
          <w:szCs w:val="16"/>
          <w:color w:val="auto"/>
        </w:rPr>
      </w:pPr>
    </w:p>
    <w:p>
      <w:pPr>
        <w:ind w:left="2080" w:hanging="357"/>
        <w:spacing w:after="0" w:line="271" w:lineRule="auto"/>
        <w:tabs>
          <w:tab w:leader="none" w:pos="2067" w:val="left"/>
        </w:tabs>
        <w:numPr>
          <w:ilvl w:val="1"/>
          <w:numId w:val="13"/>
        </w:numPr>
        <w:rPr>
          <w:rFonts w:ascii="Arial" w:cs="Arial" w:eastAsia="Arial" w:hAnsi="Arial"/>
          <w:sz w:val="17"/>
          <w:szCs w:val="17"/>
          <w:color w:val="auto"/>
        </w:rPr>
      </w:pPr>
      <w:r>
        <w:rPr>
          <w:rFonts w:ascii="Arial" w:cs="Arial" w:eastAsia="Arial" w:hAnsi="Arial"/>
          <w:sz w:val="17"/>
          <w:szCs w:val="17"/>
          <w:color w:val="auto"/>
        </w:rPr>
        <w:t>Gordon Ritter (“</w:t>
      </w:r>
      <w:r>
        <w:rPr>
          <w:rFonts w:ascii="Arial" w:cs="Arial" w:eastAsia="Arial" w:hAnsi="Arial"/>
          <w:sz w:val="17"/>
          <w:szCs w:val="17"/>
          <w:b w:val="1"/>
          <w:bCs w:val="1"/>
          <w:u w:val="single" w:color="auto"/>
          <w:color w:val="auto"/>
        </w:rPr>
        <w:t>Ritter</w:t>
      </w:r>
      <w:r>
        <w:rPr>
          <w:rFonts w:ascii="Arial" w:cs="Arial" w:eastAsia="Arial" w:hAnsi="Arial"/>
          <w:sz w:val="17"/>
          <w:szCs w:val="17"/>
          <w:color w:val="auto"/>
        </w:rPr>
        <w:t>”) is an equity holder of EGP, which is the sole general partner of EEP III, which is the sole general partner of ECP III and EZP, and may be deemed to beneficially own 28,738,825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19.7%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5180" w:val="left"/>
          <w:tab w:leader="none" w:pos="9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10 of 11 Pages</w:t>
      </w:r>
    </w:p>
    <w:p>
      <w:pPr>
        <w:spacing w:after="0" w:line="154" w:lineRule="exact"/>
        <w:rPr>
          <w:sz w:val="20"/>
          <w:szCs w:val="20"/>
          <w:color w:val="auto"/>
        </w:rPr>
      </w:pPr>
    </w:p>
    <w:p>
      <w:pPr>
        <w:ind w:left="2080" w:hanging="357"/>
        <w:spacing w:after="0" w:line="271" w:lineRule="auto"/>
        <w:tabs>
          <w:tab w:leader="none" w:pos="20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Jason Green (“</w:t>
      </w:r>
      <w:r>
        <w:rPr>
          <w:rFonts w:ascii="Arial" w:cs="Arial" w:eastAsia="Arial" w:hAnsi="Arial"/>
          <w:sz w:val="17"/>
          <w:szCs w:val="17"/>
          <w:b w:val="1"/>
          <w:bCs w:val="1"/>
          <w:u w:val="single" w:color="auto"/>
          <w:color w:val="auto"/>
        </w:rPr>
        <w:t>Green</w:t>
      </w:r>
      <w:r>
        <w:rPr>
          <w:rFonts w:ascii="Arial" w:cs="Arial" w:eastAsia="Arial" w:hAnsi="Arial"/>
          <w:sz w:val="17"/>
          <w:szCs w:val="17"/>
          <w:color w:val="auto"/>
        </w:rPr>
        <w:t>”) is an equity holder of EGP, which is the sole general partner of EEP III, which is the sole general partner of ECP III and EZP, and may be deemed to beneficially own 28,738,825 shares of Class B Common Stock, which, when such shares are treated as converted into Class A Common Stock only for purposes of computing the percentage ownership of the reporting person pursuant to Rule 13d-3 of the Securities Exchange Act of 1934, as amended, represents approximately 19.7% of the outstanding shares of Class A Common Stock. In accordance with Rule 13d-3, the percentage reported does not reflect the ten for one voting power of the Class B Common Stock because the Class B Common Stock is not a registered class of voting equity securities under the Securities Exchange Act of 1934, as amended. The 28,738,825 shares of Class B Common Stock held by ECP III and EZP represent 16.7% of the aggregate combined voting power of the Class A Common Stock and Class B Common Stock.</w:t>
      </w:r>
    </w:p>
    <w:p>
      <w:pPr>
        <w:spacing w:after="0" w:line="70" w:lineRule="exact"/>
        <w:rPr>
          <w:sz w:val="20"/>
          <w:szCs w:val="20"/>
          <w:color w:val="auto"/>
        </w:rPr>
      </w:pPr>
    </w:p>
    <w:p>
      <w:pPr>
        <w:ind w:left="2080" w:right="160" w:hanging="20"/>
        <w:spacing w:after="0" w:line="264" w:lineRule="auto"/>
        <w:rPr>
          <w:sz w:val="20"/>
          <w:szCs w:val="20"/>
          <w:color w:val="auto"/>
        </w:rPr>
      </w:pPr>
      <w:r>
        <w:rPr>
          <w:rFonts w:ascii="Arial" w:cs="Arial" w:eastAsia="Arial" w:hAnsi="Arial"/>
          <w:sz w:val="18"/>
          <w:szCs w:val="18"/>
          <w:color w:val="auto"/>
        </w:rPr>
        <w:t>The percent of class and voting power were calculated based on (i) 117,334,439 shares of Class A Common Stock and (ii) 160,060,070 shares of Class B Common Stock outstanding as of December 31, 2019, as provided by the Issuer to the reporting person on January 17, 2020.</w:t>
      </w:r>
    </w:p>
    <w:p>
      <w:pPr>
        <w:spacing w:after="0" w:line="73" w:lineRule="exact"/>
        <w:rPr>
          <w:sz w:val="20"/>
          <w:szCs w:val="20"/>
          <w:color w:val="auto"/>
        </w:rPr>
      </w:pPr>
    </w:p>
    <w:p>
      <w:pPr>
        <w:ind w:left="1720" w:hanging="902"/>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6300" w:type="dxa"/>
            <w:vAlign w:val="bottom"/>
            <w:vMerge w:val="restart"/>
          </w:tcPr>
          <w:p>
            <w:pPr>
              <w:spacing w:after="0"/>
              <w:rPr>
                <w:sz w:val="14"/>
                <w:szCs w:val="14"/>
                <w:color w:val="auto"/>
              </w:rPr>
            </w:pPr>
          </w:p>
        </w:tc>
        <w:tc>
          <w:tcPr>
            <w:tcW w:w="310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6"/>
              </w:rPr>
              <w:t>Number of Shares of Class A Common Stock</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vMerge w:val="continue"/>
          </w:tcPr>
          <w:p>
            <w:pPr>
              <w:spacing w:after="0"/>
              <w:rPr>
                <w:sz w:val="12"/>
                <w:szCs w:val="12"/>
                <w:color w:val="auto"/>
              </w:rPr>
            </w:pPr>
          </w:p>
        </w:tc>
        <w:tc>
          <w:tcPr>
            <w:tcW w:w="6300" w:type="dxa"/>
            <w:vAlign w:val="bottom"/>
            <w:vMerge w:val="continue"/>
          </w:tcPr>
          <w:p>
            <w:pPr>
              <w:spacing w:after="0"/>
              <w:rPr>
                <w:sz w:val="12"/>
                <w:szCs w:val="12"/>
                <w:color w:val="auto"/>
              </w:rPr>
            </w:pPr>
          </w:p>
        </w:tc>
        <w:tc>
          <w:tcPr>
            <w:tcW w:w="112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(i)</w:t>
            </w:r>
          </w:p>
        </w:tc>
        <w:tc>
          <w:tcPr>
            <w:tcW w:w="5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(ii)</w:t>
            </w:r>
          </w:p>
        </w:tc>
        <w:tc>
          <w:tcPr>
            <w:tcW w:w="112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(iii)</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(iv)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Emergence Capital Partners III, L.P.</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25,618,216</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25,618,216</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EZP Opportunity, L.P.</w:t>
            </w:r>
          </w:p>
        </w:tc>
        <w:tc>
          <w:tcPr>
            <w:tcW w:w="880" w:type="dxa"/>
            <w:vAlign w:val="bottom"/>
          </w:tcPr>
          <w:p>
            <w:pPr>
              <w:jc w:val="right"/>
              <w:spacing w:after="0"/>
              <w:rPr>
                <w:sz w:val="20"/>
                <w:szCs w:val="20"/>
                <w:color w:val="auto"/>
              </w:rPr>
            </w:pPr>
            <w:r>
              <w:rPr>
                <w:rFonts w:ascii="Arial" w:cs="Arial" w:eastAsia="Arial" w:hAnsi="Arial"/>
                <w:sz w:val="18"/>
                <w:szCs w:val="18"/>
                <w:color w:val="auto"/>
              </w:rPr>
              <w:t>3,120,609</w:t>
            </w:r>
          </w:p>
        </w:tc>
        <w:tc>
          <w:tcPr>
            <w:tcW w:w="24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3,120,609</w:t>
            </w:r>
          </w:p>
        </w:tc>
        <w:tc>
          <w:tcPr>
            <w:tcW w:w="2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Emergence Equity Partners III, L.P.</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28,738,825</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28,738,825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Emergence GP Partners, LLC</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28,738,825</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28,738,825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Ritter</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28,738,825</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28,738,825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Jason Green</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28,738,825</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28,738,825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8"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The percent of class was calculated based on 117,334,439 shares of Class A Common Stock outstanding as of December 31, 2019, as provided by the Issuer to the reporting person on January 17, 2020.</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820" w:right="1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ind w:left="820" w:right="2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r>
        <w:rPr>
          <w:rFonts w:ascii="Arial" w:cs="Arial" w:eastAsia="Arial" w:hAnsi="Arial"/>
          <w:sz w:val="16"/>
          <w:szCs w:val="16"/>
          <w:color w:val="auto"/>
        </w:rPr>
        <w:t>.</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274" w:right="279" w:bottom="1440" w:gutter="0" w:footer="0" w:header="0"/>
        </w:sectPr>
      </w:pPr>
    </w:p>
    <w:bookmarkStart w:id="10" w:name="page11"/>
    <w:bookmarkEnd w:id="10"/>
    <w:p>
      <w:pPr>
        <w:spacing w:after="0"/>
        <w:tabs>
          <w:tab w:leader="none" w:pos="5180" w:val="left"/>
          <w:tab w:leader="none" w:pos="9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11 of 11 Pages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Emergence Equity Partners III, L.P., its sole general</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Emergence GP Partners, LLC, its sole general partner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EZP OPPORTUNITY,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Emergence Equity Partners III, L.P., its sole general</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Emergence GP Partners, LLC, its sole general partner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EQUITY PARTNERS III,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Emergence GP Partners, LLC, its sole general partner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GP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Gordon Ritter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Jason Green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2020</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Emergence Equity Partners III, L.P., its sole general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Emergence GP Partners, LLC, its sole general partner</w:t>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EZP OPPORTUNITY, L.P.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Emergence Equity Partners III, L.P., its sole general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Emergence GP Partners, LLC, its sole general partner</w:t>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EQUITY PARTNERS III, L.P.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Emergence GP Partners, LLC, its sole general partner</w:t>
      </w:r>
    </w:p>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EMERGENCE GP PARTNERS, LLC</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Gordon Ritter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Gordon Ritter</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Gordon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Jason Green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lvl w:ilvl="1">
      <w:lvlJc w:val="left"/>
      <w:lvlText w:val="(%2)"/>
      <w:numFmt w:val="lowerRoman"/>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lvl w:ilvl="1">
      <w:lvlJc w:val="left"/>
      <w:lvlText w:val="(%2)"/>
      <w:numFmt w:val="lowerRoman"/>
      <w:start w:val="1"/>
    </w:lvl>
  </w:abstractNum>
  <w:abstractNum w:abstractNumId="13">
    <w:nsid w:val="1BEFD79F"/>
    <w:multiLevelType w:val="hybridMultilevel"/>
    <w:lvl w:ilvl="0">
      <w:lvlJc w:val="left"/>
      <w:lvlText w:val="(%1)"/>
      <w:numFmt w:val="lowerRoman"/>
      <w:start w:val="6"/>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2020-01-30T16:12:57Z</dcterms:created>
  <dcterms:modified xsi:type="dcterms:W3CDTF">2020-01-30T16:12:57Z</dcterms:modified>
</cp:coreProperties>
</file>