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00"/>
          </w:cols>
          <w:pgMar w:left="460" w:top="225" w:right="479" w:bottom="33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1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Eschenbach Carl M.</w:t>
              </w:r>
            </w:hyperlink>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w w:val="99"/>
              </w:rPr>
            </w:pPr>
            <w:hyperlink r:id="rId14">
              <w:r>
                <w:rPr>
                  <w:rFonts w:ascii="Arial" w:cs="Arial" w:eastAsia="Arial" w:hAnsi="Arial"/>
                  <w:sz w:val="21"/>
                  <w:szCs w:val="21"/>
                  <w:u w:val="single" w:color="auto"/>
                  <w:color w:val="0000EE"/>
                  <w:w w:val="99"/>
                </w:rPr>
                <w:t>Zoom Video Communications, Inc.</w:t>
              </w:r>
              <w:r>
                <w:rPr>
                  <w:rFonts w:ascii="Arial" w:cs="Arial" w:eastAsia="Arial" w:hAnsi="Arial"/>
                  <w:sz w:val="21"/>
                  <w:szCs w:val="21"/>
                  <w:color w:val="0000EE"/>
                  <w:w w:val="99"/>
                </w:rPr>
                <w:t xml:space="preserve">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100" w:type="dxa"/>
            <w:vAlign w:val="bottom"/>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390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03/03/2021</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2800 SAND HILL ROAD, SUITE 101</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42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225"/>
          </w:cols>
          <w:pgMar w:left="460" w:top="225" w:right="479" w:bottom="336"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MENLO PARK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7682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768286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3760" w:space="160"/>
            <w:col w:w="7040"/>
          </w:cols>
          <w:pgMar w:left="460" w:top="225" w:right="479" w:bottom="336"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60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3"/>
          </w:tcPr>
          <w:p>
            <w:pPr>
              <w:jc w:val="center"/>
              <w:ind w:right="216"/>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jc w:val="cente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10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3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8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3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4,000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340.8453</w:t>
            </w:r>
            <w:r>
              <w:rPr>
                <w:rFonts w:ascii="Arial" w:cs="Arial" w:eastAsia="Arial" w:hAnsi="Arial"/>
                <w:sz w:val="22"/>
                <w:szCs w:val="22"/>
                <w:color w:val="008000"/>
                <w:w w:val="89"/>
                <w:vertAlign w:val="superscript"/>
              </w:rPr>
              <w:t>(2)</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145,603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4,550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341.7085</w:t>
            </w:r>
            <w:r>
              <w:rPr>
                <w:rFonts w:ascii="Arial" w:cs="Arial" w:eastAsia="Arial" w:hAnsi="Arial"/>
                <w:sz w:val="22"/>
                <w:szCs w:val="22"/>
                <w:color w:val="008000"/>
                <w:w w:val="89"/>
                <w:vertAlign w:val="superscript"/>
              </w:rPr>
              <w:t>(3)</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141,053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1,338</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342.745</w:t>
            </w:r>
            <w:r>
              <w:rPr>
                <w:rFonts w:ascii="Arial" w:cs="Arial" w:eastAsia="Arial" w:hAnsi="Arial"/>
                <w:sz w:val="22"/>
                <w:szCs w:val="22"/>
                <w:color w:val="008000"/>
                <w:w w:val="90"/>
                <w:vertAlign w:val="superscript"/>
              </w:rPr>
              <w:t>(4)</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139,715</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1,851</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343.7538</w:t>
            </w:r>
            <w:r>
              <w:rPr>
                <w:rFonts w:ascii="Arial" w:cs="Arial" w:eastAsia="Arial" w:hAnsi="Arial"/>
                <w:sz w:val="22"/>
                <w:szCs w:val="22"/>
                <w:color w:val="008000"/>
                <w:w w:val="89"/>
                <w:vertAlign w:val="superscript"/>
              </w:rPr>
              <w:t>(5)</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137,864</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1,500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344.7787</w:t>
            </w:r>
            <w:r>
              <w:rPr>
                <w:rFonts w:ascii="Arial" w:cs="Arial" w:eastAsia="Arial" w:hAnsi="Arial"/>
                <w:sz w:val="22"/>
                <w:szCs w:val="22"/>
                <w:color w:val="008000"/>
                <w:w w:val="89"/>
                <w:vertAlign w:val="superscript"/>
              </w:rPr>
              <w:t>(6)</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136,364</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2,348</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345.9471</w:t>
            </w:r>
            <w:r>
              <w:rPr>
                <w:rFonts w:ascii="Arial" w:cs="Arial" w:eastAsia="Arial" w:hAnsi="Arial"/>
                <w:sz w:val="22"/>
                <w:szCs w:val="22"/>
                <w:color w:val="008000"/>
                <w:w w:val="89"/>
                <w:vertAlign w:val="superscript"/>
              </w:rPr>
              <w:t>(7)</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134,016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700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347.0014</w:t>
            </w:r>
            <w:r>
              <w:rPr>
                <w:rFonts w:ascii="Arial" w:cs="Arial" w:eastAsia="Arial" w:hAnsi="Arial"/>
                <w:sz w:val="22"/>
                <w:szCs w:val="22"/>
                <w:color w:val="008000"/>
                <w:w w:val="89"/>
                <w:vertAlign w:val="superscript"/>
              </w:rPr>
              <w:t>(8)</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133,316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1,500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348.1547</w:t>
            </w:r>
            <w:r>
              <w:rPr>
                <w:rFonts w:ascii="Arial" w:cs="Arial" w:eastAsia="Arial" w:hAnsi="Arial"/>
                <w:sz w:val="22"/>
                <w:szCs w:val="22"/>
                <w:color w:val="008000"/>
                <w:w w:val="89"/>
                <w:vertAlign w:val="superscript"/>
              </w:rPr>
              <w:t>(9)</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131,816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1,400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348.97</w:t>
            </w:r>
            <w:r>
              <w:rPr>
                <w:rFonts w:ascii="Arial" w:cs="Arial" w:eastAsia="Arial" w:hAnsi="Arial"/>
                <w:sz w:val="22"/>
                <w:szCs w:val="22"/>
                <w:color w:val="008000"/>
                <w:w w:val="86"/>
                <w:vertAlign w:val="superscript"/>
              </w:rPr>
              <w:t>(10)</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130,416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900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349.9422</w:t>
            </w:r>
            <w:r>
              <w:rPr>
                <w:rFonts w:ascii="Arial" w:cs="Arial" w:eastAsia="Arial" w:hAnsi="Arial"/>
                <w:sz w:val="22"/>
                <w:szCs w:val="22"/>
                <w:color w:val="008000"/>
                <w:w w:val="86"/>
                <w:vertAlign w:val="superscript"/>
              </w:rPr>
              <w:t>(11)</w:t>
            </w:r>
          </w:p>
        </w:tc>
        <w:tc>
          <w:tcPr>
            <w:tcW w:w="1040" w:type="dxa"/>
            <w:vAlign w:val="bottom"/>
            <w:vMerge w:val="restart"/>
          </w:tcPr>
          <w:p>
            <w:pPr>
              <w:jc w:val="right"/>
              <w:ind w:right="126"/>
              <w:spacing w:after="0"/>
              <w:rPr>
                <w:sz w:val="20"/>
                <w:szCs w:val="20"/>
                <w:color w:val="auto"/>
              </w:rPr>
            </w:pPr>
            <w:r>
              <w:rPr>
                <w:rFonts w:ascii="Arial" w:cs="Arial" w:eastAsia="Arial" w:hAnsi="Arial"/>
                <w:sz w:val="17"/>
                <w:szCs w:val="17"/>
                <w:color w:val="0000FF"/>
              </w:rPr>
              <w:t>129,516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52"/>
        </w:trPr>
        <w:tc>
          <w:tcPr>
            <w:tcW w:w="23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7"/>
          <w:szCs w:val="17"/>
          <w:color w:val="0000FF"/>
        </w:rPr>
        <w:t>vehicle</w:t>
      </w:r>
    </w:p>
    <w:p>
      <w:pPr>
        <w:sectPr>
          <w:pgSz w:w="11900" w:h="16838" w:orient="portrait"/>
          <w:cols w:equalWidth="0" w:num="1">
            <w:col w:w="10960"/>
          </w:cols>
          <w:pgMar w:left="460" w:top="225" w:right="479" w:bottom="336"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10526395"/>
                    </a:xfrm>
                    <a:prstGeom prst="rect">
                      <a:avLst/>
                    </a:prstGeom>
                    <a:noFill/>
                  </pic:spPr>
                </pic:pic>
              </a:graphicData>
            </a:graphic>
          </wp:anchor>
        </w:drawing>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6946900" cy="761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76136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60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3"/>
          </w:tcPr>
          <w:p>
            <w:pPr>
              <w:jc w:val="center"/>
              <w:ind w:right="215"/>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jc w:val="center"/>
              <w:ind w:left="41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10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3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8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3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1,100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351.1973</w:t>
            </w:r>
            <w:r>
              <w:rPr>
                <w:rFonts w:ascii="Arial" w:cs="Arial" w:eastAsia="Arial" w:hAnsi="Arial"/>
                <w:sz w:val="22"/>
                <w:szCs w:val="22"/>
                <w:color w:val="008000"/>
                <w:w w:val="86"/>
                <w:vertAlign w:val="superscript"/>
              </w:rPr>
              <w:t>(12)</w:t>
            </w:r>
          </w:p>
        </w:tc>
        <w:tc>
          <w:tcPr>
            <w:tcW w:w="1040" w:type="dxa"/>
            <w:vAlign w:val="bottom"/>
            <w:vMerge w:val="restart"/>
          </w:tcPr>
          <w:p>
            <w:pPr>
              <w:jc w:val="right"/>
              <w:ind w:right="123"/>
              <w:spacing w:after="0"/>
              <w:rPr>
                <w:sz w:val="20"/>
                <w:szCs w:val="20"/>
                <w:color w:val="auto"/>
              </w:rPr>
            </w:pPr>
            <w:r>
              <w:rPr>
                <w:rFonts w:ascii="Arial" w:cs="Arial" w:eastAsia="Arial" w:hAnsi="Arial"/>
                <w:sz w:val="17"/>
                <w:szCs w:val="17"/>
                <w:color w:val="0000FF"/>
              </w:rPr>
              <w:t>128,416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700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352.1486</w:t>
            </w:r>
            <w:r>
              <w:rPr>
                <w:rFonts w:ascii="Arial" w:cs="Arial" w:eastAsia="Arial" w:hAnsi="Arial"/>
                <w:sz w:val="22"/>
                <w:szCs w:val="22"/>
                <w:color w:val="008000"/>
                <w:w w:val="86"/>
                <w:vertAlign w:val="superscript"/>
              </w:rPr>
              <w:t>(13)</w:t>
            </w:r>
          </w:p>
        </w:tc>
        <w:tc>
          <w:tcPr>
            <w:tcW w:w="1040" w:type="dxa"/>
            <w:vAlign w:val="bottom"/>
            <w:vMerge w:val="restart"/>
          </w:tcPr>
          <w:p>
            <w:pPr>
              <w:jc w:val="right"/>
              <w:ind w:right="123"/>
              <w:spacing w:after="0"/>
              <w:rPr>
                <w:sz w:val="20"/>
                <w:szCs w:val="20"/>
                <w:color w:val="auto"/>
              </w:rPr>
            </w:pPr>
            <w:r>
              <w:rPr>
                <w:rFonts w:ascii="Arial" w:cs="Arial" w:eastAsia="Arial" w:hAnsi="Arial"/>
                <w:sz w:val="17"/>
                <w:szCs w:val="17"/>
                <w:color w:val="0000FF"/>
              </w:rPr>
              <w:t>127,716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600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353.2683</w:t>
            </w:r>
            <w:r>
              <w:rPr>
                <w:rFonts w:ascii="Arial" w:cs="Arial" w:eastAsia="Arial" w:hAnsi="Arial"/>
                <w:sz w:val="22"/>
                <w:szCs w:val="22"/>
                <w:color w:val="008000"/>
                <w:w w:val="86"/>
                <w:vertAlign w:val="superscript"/>
              </w:rPr>
              <w:t>(14)</w:t>
            </w:r>
          </w:p>
        </w:tc>
        <w:tc>
          <w:tcPr>
            <w:tcW w:w="1040" w:type="dxa"/>
            <w:vAlign w:val="bottom"/>
            <w:vMerge w:val="restart"/>
          </w:tcPr>
          <w:p>
            <w:pPr>
              <w:jc w:val="right"/>
              <w:ind w:right="123"/>
              <w:spacing w:after="0"/>
              <w:rPr>
                <w:sz w:val="20"/>
                <w:szCs w:val="20"/>
                <w:color w:val="auto"/>
              </w:rPr>
            </w:pPr>
            <w:r>
              <w:rPr>
                <w:rFonts w:ascii="Arial" w:cs="Arial" w:eastAsia="Arial" w:hAnsi="Arial"/>
                <w:sz w:val="17"/>
                <w:szCs w:val="17"/>
                <w:color w:val="0000FF"/>
              </w:rPr>
              <w:t>127,116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300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354.4533</w:t>
            </w:r>
            <w:r>
              <w:rPr>
                <w:rFonts w:ascii="Arial" w:cs="Arial" w:eastAsia="Arial" w:hAnsi="Arial"/>
                <w:sz w:val="22"/>
                <w:szCs w:val="22"/>
                <w:color w:val="008000"/>
                <w:w w:val="86"/>
                <w:vertAlign w:val="superscript"/>
              </w:rPr>
              <w:t>(15)</w:t>
            </w:r>
          </w:p>
        </w:tc>
        <w:tc>
          <w:tcPr>
            <w:tcW w:w="1040" w:type="dxa"/>
            <w:vAlign w:val="bottom"/>
            <w:vMerge w:val="restart"/>
          </w:tcPr>
          <w:p>
            <w:pPr>
              <w:jc w:val="right"/>
              <w:ind w:right="123"/>
              <w:spacing w:after="0"/>
              <w:rPr>
                <w:sz w:val="20"/>
                <w:szCs w:val="20"/>
                <w:color w:val="auto"/>
              </w:rPr>
            </w:pPr>
            <w:r>
              <w:rPr>
                <w:rFonts w:ascii="Arial" w:cs="Arial" w:eastAsia="Arial" w:hAnsi="Arial"/>
                <w:sz w:val="17"/>
                <w:szCs w:val="17"/>
                <w:color w:val="0000FF"/>
              </w:rPr>
              <w:t>126,816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700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356.2843</w:t>
            </w:r>
            <w:r>
              <w:rPr>
                <w:rFonts w:ascii="Arial" w:cs="Arial" w:eastAsia="Arial" w:hAnsi="Arial"/>
                <w:sz w:val="22"/>
                <w:szCs w:val="22"/>
                <w:color w:val="008000"/>
                <w:w w:val="86"/>
                <w:vertAlign w:val="superscript"/>
              </w:rPr>
              <w:t>(16)</w:t>
            </w:r>
          </w:p>
        </w:tc>
        <w:tc>
          <w:tcPr>
            <w:tcW w:w="1040" w:type="dxa"/>
            <w:vAlign w:val="bottom"/>
            <w:vMerge w:val="restart"/>
          </w:tcPr>
          <w:p>
            <w:pPr>
              <w:jc w:val="right"/>
              <w:ind w:right="123"/>
              <w:spacing w:after="0"/>
              <w:rPr>
                <w:sz w:val="20"/>
                <w:szCs w:val="20"/>
                <w:color w:val="auto"/>
              </w:rPr>
            </w:pPr>
            <w:r>
              <w:rPr>
                <w:rFonts w:ascii="Arial" w:cs="Arial" w:eastAsia="Arial" w:hAnsi="Arial"/>
                <w:sz w:val="17"/>
                <w:szCs w:val="17"/>
                <w:color w:val="0000FF"/>
              </w:rPr>
              <w:t>126,116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1,000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357.363</w:t>
            </w:r>
            <w:r>
              <w:rPr>
                <w:rFonts w:ascii="Arial" w:cs="Arial" w:eastAsia="Arial" w:hAnsi="Arial"/>
                <w:sz w:val="22"/>
                <w:szCs w:val="22"/>
                <w:color w:val="008000"/>
                <w:w w:val="86"/>
                <w:vertAlign w:val="superscript"/>
              </w:rPr>
              <w:t>(17)</w:t>
            </w:r>
          </w:p>
        </w:tc>
        <w:tc>
          <w:tcPr>
            <w:tcW w:w="1040" w:type="dxa"/>
            <w:vAlign w:val="bottom"/>
            <w:vMerge w:val="restart"/>
          </w:tcPr>
          <w:p>
            <w:pPr>
              <w:jc w:val="right"/>
              <w:ind w:right="123"/>
              <w:spacing w:after="0"/>
              <w:rPr>
                <w:sz w:val="20"/>
                <w:szCs w:val="20"/>
                <w:color w:val="auto"/>
              </w:rPr>
            </w:pPr>
            <w:r>
              <w:rPr>
                <w:rFonts w:ascii="Arial" w:cs="Arial" w:eastAsia="Arial" w:hAnsi="Arial"/>
                <w:sz w:val="17"/>
                <w:szCs w:val="17"/>
                <w:color w:val="0000FF"/>
              </w:rPr>
              <w:t>125,116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3,203</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358.3203</w:t>
            </w:r>
            <w:r>
              <w:rPr>
                <w:rFonts w:ascii="Arial" w:cs="Arial" w:eastAsia="Arial" w:hAnsi="Arial"/>
                <w:sz w:val="22"/>
                <w:szCs w:val="22"/>
                <w:color w:val="008000"/>
                <w:w w:val="86"/>
                <w:vertAlign w:val="superscript"/>
              </w:rPr>
              <w:t>(18)</w:t>
            </w:r>
          </w:p>
        </w:tc>
        <w:tc>
          <w:tcPr>
            <w:tcW w:w="1040" w:type="dxa"/>
            <w:vAlign w:val="bottom"/>
            <w:vMerge w:val="restart"/>
          </w:tcPr>
          <w:p>
            <w:pPr>
              <w:jc w:val="right"/>
              <w:ind w:right="123"/>
              <w:spacing w:after="0"/>
              <w:rPr>
                <w:sz w:val="20"/>
                <w:szCs w:val="20"/>
                <w:color w:val="auto"/>
              </w:rPr>
            </w:pPr>
            <w:r>
              <w:rPr>
                <w:rFonts w:ascii="Arial" w:cs="Arial" w:eastAsia="Arial" w:hAnsi="Arial"/>
                <w:sz w:val="17"/>
                <w:szCs w:val="17"/>
                <w:color w:val="0000FF"/>
              </w:rPr>
              <w:t>121,913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1,503</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359.268</w:t>
            </w:r>
            <w:r>
              <w:rPr>
                <w:rFonts w:ascii="Arial" w:cs="Arial" w:eastAsia="Arial" w:hAnsi="Arial"/>
                <w:sz w:val="22"/>
                <w:szCs w:val="22"/>
                <w:color w:val="008000"/>
                <w:w w:val="86"/>
                <w:vertAlign w:val="superscript"/>
              </w:rPr>
              <w:t>(19)</w:t>
            </w:r>
          </w:p>
        </w:tc>
        <w:tc>
          <w:tcPr>
            <w:tcW w:w="1040" w:type="dxa"/>
            <w:vAlign w:val="bottom"/>
            <w:vMerge w:val="restart"/>
          </w:tcPr>
          <w:p>
            <w:pPr>
              <w:jc w:val="right"/>
              <w:ind w:right="123"/>
              <w:spacing w:after="0"/>
              <w:rPr>
                <w:sz w:val="20"/>
                <w:szCs w:val="20"/>
                <w:color w:val="auto"/>
              </w:rPr>
            </w:pPr>
            <w:r>
              <w:rPr>
                <w:rFonts w:ascii="Arial" w:cs="Arial" w:eastAsia="Arial" w:hAnsi="Arial"/>
                <w:sz w:val="17"/>
                <w:szCs w:val="17"/>
                <w:color w:val="0000FF"/>
              </w:rPr>
              <w:t>120,410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1,600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360.3462</w:t>
            </w:r>
            <w:r>
              <w:rPr>
                <w:rFonts w:ascii="Arial" w:cs="Arial" w:eastAsia="Arial" w:hAnsi="Arial"/>
                <w:sz w:val="22"/>
                <w:szCs w:val="22"/>
                <w:color w:val="008000"/>
                <w:w w:val="86"/>
                <w:vertAlign w:val="superscript"/>
              </w:rPr>
              <w:t>(20)</w:t>
            </w:r>
          </w:p>
        </w:tc>
        <w:tc>
          <w:tcPr>
            <w:tcW w:w="1040" w:type="dxa"/>
            <w:vAlign w:val="bottom"/>
            <w:vMerge w:val="restart"/>
          </w:tcPr>
          <w:p>
            <w:pPr>
              <w:jc w:val="right"/>
              <w:ind w:right="123"/>
              <w:spacing w:after="0"/>
              <w:rPr>
                <w:sz w:val="20"/>
                <w:szCs w:val="20"/>
                <w:color w:val="auto"/>
              </w:rPr>
            </w:pPr>
            <w:r>
              <w:rPr>
                <w:rFonts w:ascii="Arial" w:cs="Arial" w:eastAsia="Arial" w:hAnsi="Arial"/>
                <w:sz w:val="17"/>
                <w:szCs w:val="17"/>
                <w:color w:val="0000FF"/>
              </w:rPr>
              <w:t>118,810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1,710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361.8741</w:t>
            </w:r>
            <w:r>
              <w:rPr>
                <w:rFonts w:ascii="Arial" w:cs="Arial" w:eastAsia="Arial" w:hAnsi="Arial"/>
                <w:sz w:val="22"/>
                <w:szCs w:val="22"/>
                <w:color w:val="008000"/>
                <w:w w:val="86"/>
                <w:vertAlign w:val="superscript"/>
              </w:rPr>
              <w:t>(21)</w:t>
            </w:r>
          </w:p>
        </w:tc>
        <w:tc>
          <w:tcPr>
            <w:tcW w:w="1040" w:type="dxa"/>
            <w:vAlign w:val="bottom"/>
            <w:vMerge w:val="restart"/>
          </w:tcPr>
          <w:p>
            <w:pPr>
              <w:jc w:val="right"/>
              <w:ind w:right="123"/>
              <w:spacing w:after="0"/>
              <w:rPr>
                <w:sz w:val="20"/>
                <w:szCs w:val="20"/>
                <w:color w:val="auto"/>
              </w:rPr>
            </w:pPr>
            <w:r>
              <w:rPr>
                <w:rFonts w:ascii="Arial" w:cs="Arial" w:eastAsia="Arial" w:hAnsi="Arial"/>
                <w:sz w:val="17"/>
                <w:szCs w:val="17"/>
                <w:color w:val="0000FF"/>
              </w:rPr>
              <w:t>117,100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797</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362.7714</w:t>
            </w:r>
            <w:r>
              <w:rPr>
                <w:rFonts w:ascii="Arial" w:cs="Arial" w:eastAsia="Arial" w:hAnsi="Arial"/>
                <w:sz w:val="22"/>
                <w:szCs w:val="22"/>
                <w:color w:val="008000"/>
                <w:w w:val="86"/>
                <w:vertAlign w:val="superscript"/>
              </w:rPr>
              <w:t>(22)</w:t>
            </w:r>
          </w:p>
        </w:tc>
        <w:tc>
          <w:tcPr>
            <w:tcW w:w="1040" w:type="dxa"/>
            <w:vAlign w:val="bottom"/>
            <w:vMerge w:val="restart"/>
          </w:tcPr>
          <w:p>
            <w:pPr>
              <w:jc w:val="right"/>
              <w:ind w:right="123"/>
              <w:spacing w:after="0"/>
              <w:rPr>
                <w:sz w:val="20"/>
                <w:szCs w:val="20"/>
                <w:color w:val="auto"/>
              </w:rPr>
            </w:pPr>
            <w:r>
              <w:rPr>
                <w:rFonts w:ascii="Arial" w:cs="Arial" w:eastAsia="Arial" w:hAnsi="Arial"/>
                <w:sz w:val="17"/>
                <w:szCs w:val="17"/>
                <w:color w:val="0000FF"/>
              </w:rPr>
              <w:t>116,303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600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363.68</w:t>
            </w:r>
            <w:r>
              <w:rPr>
                <w:rFonts w:ascii="Arial" w:cs="Arial" w:eastAsia="Arial" w:hAnsi="Arial"/>
                <w:sz w:val="22"/>
                <w:szCs w:val="22"/>
                <w:color w:val="008000"/>
                <w:w w:val="86"/>
                <w:vertAlign w:val="superscript"/>
              </w:rPr>
              <w:t>(23)</w:t>
            </w:r>
          </w:p>
        </w:tc>
        <w:tc>
          <w:tcPr>
            <w:tcW w:w="1040" w:type="dxa"/>
            <w:vAlign w:val="bottom"/>
            <w:vMerge w:val="restart"/>
          </w:tcPr>
          <w:p>
            <w:pPr>
              <w:jc w:val="right"/>
              <w:ind w:right="123"/>
              <w:spacing w:after="0"/>
              <w:rPr>
                <w:sz w:val="20"/>
                <w:szCs w:val="20"/>
                <w:color w:val="auto"/>
              </w:rPr>
            </w:pPr>
            <w:r>
              <w:rPr>
                <w:rFonts w:ascii="Arial" w:cs="Arial" w:eastAsia="Arial" w:hAnsi="Arial"/>
                <w:sz w:val="17"/>
                <w:szCs w:val="17"/>
                <w:color w:val="0000FF"/>
              </w:rPr>
              <w:t>115,703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700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364.9171</w:t>
            </w:r>
            <w:r>
              <w:rPr>
                <w:rFonts w:ascii="Arial" w:cs="Arial" w:eastAsia="Arial" w:hAnsi="Arial"/>
                <w:sz w:val="22"/>
                <w:szCs w:val="22"/>
                <w:color w:val="008000"/>
                <w:w w:val="86"/>
                <w:vertAlign w:val="superscript"/>
              </w:rPr>
              <w:t>(24)</w:t>
            </w:r>
          </w:p>
        </w:tc>
        <w:tc>
          <w:tcPr>
            <w:tcW w:w="1040" w:type="dxa"/>
            <w:vAlign w:val="bottom"/>
            <w:vMerge w:val="restart"/>
          </w:tcPr>
          <w:p>
            <w:pPr>
              <w:jc w:val="right"/>
              <w:ind w:right="123"/>
              <w:spacing w:after="0"/>
              <w:rPr>
                <w:sz w:val="20"/>
                <w:szCs w:val="20"/>
                <w:color w:val="auto"/>
              </w:rPr>
            </w:pPr>
            <w:r>
              <w:rPr>
                <w:rFonts w:ascii="Arial" w:cs="Arial" w:eastAsia="Arial" w:hAnsi="Arial"/>
                <w:sz w:val="17"/>
                <w:szCs w:val="17"/>
                <w:color w:val="0000FF"/>
              </w:rPr>
              <w:t>115,003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800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366.1825</w:t>
            </w:r>
            <w:r>
              <w:rPr>
                <w:rFonts w:ascii="Arial" w:cs="Arial" w:eastAsia="Arial" w:hAnsi="Arial"/>
                <w:sz w:val="22"/>
                <w:szCs w:val="22"/>
                <w:color w:val="008000"/>
                <w:w w:val="86"/>
                <w:vertAlign w:val="superscript"/>
              </w:rPr>
              <w:t>(25)</w:t>
            </w:r>
          </w:p>
        </w:tc>
        <w:tc>
          <w:tcPr>
            <w:tcW w:w="1040" w:type="dxa"/>
            <w:vAlign w:val="bottom"/>
            <w:vMerge w:val="restart"/>
          </w:tcPr>
          <w:p>
            <w:pPr>
              <w:jc w:val="right"/>
              <w:ind w:right="123"/>
              <w:spacing w:after="0"/>
              <w:rPr>
                <w:sz w:val="20"/>
                <w:szCs w:val="20"/>
                <w:color w:val="auto"/>
              </w:rPr>
            </w:pPr>
            <w:r>
              <w:rPr>
                <w:rFonts w:ascii="Arial" w:cs="Arial" w:eastAsia="Arial" w:hAnsi="Arial"/>
                <w:sz w:val="17"/>
                <w:szCs w:val="17"/>
                <w:color w:val="0000FF"/>
              </w:rPr>
              <w:t>114,203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vMerge w:val="restart"/>
          </w:tcPr>
          <w:p>
            <w:pPr>
              <w:jc w:val="center"/>
              <w:ind w:left="418"/>
              <w:spacing w:after="0"/>
              <w:rPr>
                <w:sz w:val="20"/>
                <w:szCs w:val="20"/>
                <w:color w:val="auto"/>
              </w:rPr>
            </w:pPr>
            <w:r>
              <w:rPr>
                <w:rFonts w:ascii="Arial" w:cs="Arial" w:eastAsia="Arial" w:hAnsi="Arial"/>
                <w:sz w:val="17"/>
                <w:szCs w:val="17"/>
                <w:color w:val="0000FF"/>
                <w:w w:val="91"/>
              </w:rPr>
              <w:t>03/03/2021</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700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367.2129</w:t>
            </w:r>
            <w:r>
              <w:rPr>
                <w:rFonts w:ascii="Arial" w:cs="Arial" w:eastAsia="Arial" w:hAnsi="Arial"/>
                <w:sz w:val="22"/>
                <w:szCs w:val="22"/>
                <w:color w:val="008000"/>
                <w:w w:val="86"/>
                <w:vertAlign w:val="superscript"/>
              </w:rPr>
              <w:t>(26)</w:t>
            </w:r>
          </w:p>
        </w:tc>
        <w:tc>
          <w:tcPr>
            <w:tcW w:w="1040" w:type="dxa"/>
            <w:vAlign w:val="bottom"/>
            <w:vMerge w:val="restart"/>
          </w:tcPr>
          <w:p>
            <w:pPr>
              <w:jc w:val="right"/>
              <w:ind w:right="123"/>
              <w:spacing w:after="0"/>
              <w:rPr>
                <w:sz w:val="20"/>
                <w:szCs w:val="20"/>
                <w:color w:val="auto"/>
              </w:rPr>
            </w:pPr>
            <w:r>
              <w:rPr>
                <w:rFonts w:ascii="Arial" w:cs="Arial" w:eastAsia="Arial" w:hAnsi="Arial"/>
                <w:sz w:val="17"/>
                <w:szCs w:val="17"/>
                <w:color w:val="0000FF"/>
              </w:rPr>
              <w:t>113,503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52"/>
        </w:trPr>
        <w:tc>
          <w:tcPr>
            <w:tcW w:w="23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-9213215</wp:posOffset>
            </wp:positionV>
            <wp:extent cx="6946900" cy="9392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6900" cy="9392285"/>
                    </a:xfrm>
                    <a:prstGeom prst="rect">
                      <a:avLst/>
                    </a:prstGeom>
                    <a:noFill/>
                  </pic:spPr>
                </pic:pic>
              </a:graphicData>
            </a:graphic>
          </wp:anchor>
        </w:drawing>
      </w:r>
    </w:p>
    <w:p>
      <w:pPr>
        <w:ind w:left="10240"/>
        <w:spacing w:after="0"/>
        <w:rPr>
          <w:sz w:val="20"/>
          <w:szCs w:val="20"/>
          <w:color w:val="auto"/>
        </w:rPr>
      </w:pPr>
      <w:r>
        <w:rPr>
          <w:rFonts w:ascii="Arial" w:cs="Arial" w:eastAsia="Arial" w:hAnsi="Arial"/>
          <w:sz w:val="17"/>
          <w:szCs w:val="17"/>
          <w:color w:val="0000FF"/>
        </w:rPr>
        <w:t>vehicle</w:t>
      </w:r>
    </w:p>
    <w:p>
      <w:pPr>
        <w:sectPr>
          <w:pgSz w:w="11900" w:h="16838" w:orient="portrait"/>
          <w:cols w:equalWidth="0" w:num="1">
            <w:col w:w="10940"/>
          </w:cols>
          <w:pgMar w:left="480" w:top="187" w:right="479" w:bottom="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4112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4112260"/>
                    </a:xfrm>
                    <a:prstGeom prst="rect">
                      <a:avLst/>
                    </a:prstGeom>
                    <a:noFill/>
                  </pic:spPr>
                </pic:pic>
              </a:graphicData>
            </a:graphic>
          </wp:anchor>
        </w:drawing>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57150</wp:posOffset>
            </wp:positionV>
            <wp:extent cx="6946900" cy="761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46900" cy="76136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right"/>
              <w:ind w:right="145"/>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03/03/2021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right"/>
              <w:ind w:right="145"/>
              <w:spacing w:after="0"/>
              <w:rPr>
                <w:sz w:val="20"/>
                <w:szCs w:val="20"/>
                <w:color w:val="auto"/>
              </w:rPr>
            </w:pPr>
            <w:r>
              <w:rPr>
                <w:rFonts w:ascii="Arial" w:cs="Arial" w:eastAsia="Arial" w:hAnsi="Arial"/>
                <w:sz w:val="17"/>
                <w:szCs w:val="17"/>
                <w:color w:val="0000FF"/>
              </w:rPr>
              <w:t>400</w:t>
            </w:r>
          </w:p>
        </w:tc>
        <w:tc>
          <w:tcPr>
            <w:tcW w:w="340" w:type="dxa"/>
            <w:vAlign w:val="bottom"/>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369.0525</w:t>
            </w:r>
            <w:r>
              <w:rPr>
                <w:rFonts w:ascii="Arial" w:cs="Arial" w:eastAsia="Arial" w:hAnsi="Arial"/>
                <w:sz w:val="22"/>
                <w:szCs w:val="22"/>
                <w:color w:val="008000"/>
                <w:w w:val="86"/>
                <w:vertAlign w:val="superscript"/>
              </w:rPr>
              <w:t>(27)</w:t>
            </w:r>
          </w:p>
        </w:tc>
        <w:tc>
          <w:tcPr>
            <w:tcW w:w="11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113,103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03/03/2021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right"/>
              <w:ind w:right="145"/>
              <w:spacing w:after="0"/>
              <w:rPr>
                <w:sz w:val="20"/>
                <w:szCs w:val="20"/>
                <w:color w:val="auto"/>
              </w:rPr>
            </w:pPr>
            <w:r>
              <w:rPr>
                <w:rFonts w:ascii="Arial" w:cs="Arial" w:eastAsia="Arial" w:hAnsi="Arial"/>
                <w:sz w:val="17"/>
                <w:szCs w:val="17"/>
                <w:color w:val="0000FF"/>
              </w:rPr>
              <w:t>200</w:t>
            </w:r>
          </w:p>
        </w:tc>
        <w:tc>
          <w:tcPr>
            <w:tcW w:w="340" w:type="dxa"/>
            <w:vAlign w:val="bottom"/>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370.395</w:t>
            </w:r>
            <w:r>
              <w:rPr>
                <w:rFonts w:ascii="Arial" w:cs="Arial" w:eastAsia="Arial" w:hAnsi="Arial"/>
                <w:sz w:val="22"/>
                <w:szCs w:val="22"/>
                <w:color w:val="008000"/>
                <w:w w:val="86"/>
                <w:vertAlign w:val="superscript"/>
              </w:rPr>
              <w:t>(28)</w:t>
            </w:r>
          </w:p>
        </w:tc>
        <w:tc>
          <w:tcPr>
            <w:tcW w:w="11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112,903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03/03/2021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right"/>
              <w:ind w:right="145"/>
              <w:spacing w:after="0"/>
              <w:rPr>
                <w:sz w:val="20"/>
                <w:szCs w:val="20"/>
                <w:color w:val="auto"/>
              </w:rPr>
            </w:pPr>
            <w:r>
              <w:rPr>
                <w:rFonts w:ascii="Arial" w:cs="Arial" w:eastAsia="Arial" w:hAnsi="Arial"/>
                <w:sz w:val="17"/>
                <w:szCs w:val="17"/>
                <w:color w:val="0000FF"/>
              </w:rPr>
              <w:t>100</w:t>
            </w:r>
          </w:p>
        </w:tc>
        <w:tc>
          <w:tcPr>
            <w:tcW w:w="340" w:type="dxa"/>
            <w:vAlign w:val="bottom"/>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372.54</w:t>
            </w:r>
            <w:r>
              <w:rPr>
                <w:rFonts w:ascii="Arial" w:cs="Arial" w:eastAsia="Arial" w:hAnsi="Arial"/>
                <w:sz w:val="22"/>
                <w:szCs w:val="22"/>
                <w:color w:val="008000"/>
                <w:w w:val="86"/>
                <w:vertAlign w:val="superscript"/>
              </w:rPr>
              <w:t>(29)</w:t>
            </w:r>
          </w:p>
        </w:tc>
        <w:tc>
          <w:tcPr>
            <w:tcW w:w="11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112,803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03/03/2021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right"/>
              <w:ind w:right="145"/>
              <w:spacing w:after="0"/>
              <w:rPr>
                <w:sz w:val="20"/>
                <w:szCs w:val="20"/>
                <w:color w:val="auto"/>
              </w:rPr>
            </w:pPr>
            <w:r>
              <w:rPr>
                <w:rFonts w:ascii="Arial" w:cs="Arial" w:eastAsia="Arial" w:hAnsi="Arial"/>
                <w:sz w:val="17"/>
                <w:szCs w:val="17"/>
                <w:color w:val="0000FF"/>
              </w:rPr>
              <w:t>100</w:t>
            </w:r>
          </w:p>
        </w:tc>
        <w:tc>
          <w:tcPr>
            <w:tcW w:w="340" w:type="dxa"/>
            <w:vAlign w:val="bottom"/>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374.51</w:t>
            </w:r>
            <w:r>
              <w:rPr>
                <w:rFonts w:ascii="Arial" w:cs="Arial" w:eastAsia="Arial" w:hAnsi="Arial"/>
                <w:sz w:val="22"/>
                <w:szCs w:val="22"/>
                <w:color w:val="008000"/>
                <w:w w:val="86"/>
                <w:vertAlign w:val="superscript"/>
              </w:rPr>
              <w:t>(30)</w:t>
            </w:r>
          </w:p>
        </w:tc>
        <w:tc>
          <w:tcPr>
            <w:tcW w:w="11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112,703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rPr>
              <w:t>03/03/2021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vMerge w:val="restart"/>
          </w:tcPr>
          <w:p>
            <w:pPr>
              <w:ind w:left="120"/>
              <w:spacing w:after="0"/>
              <w:rPr>
                <w:sz w:val="20"/>
                <w:szCs w:val="20"/>
                <w:color w:val="auto"/>
              </w:rPr>
            </w:pPr>
            <w:r>
              <w:rPr>
                <w:rFonts w:ascii="Arial" w:cs="Arial" w:eastAsia="Arial" w:hAnsi="Arial"/>
                <w:sz w:val="26"/>
                <w:szCs w:val="26"/>
                <w:color w:val="0000FF"/>
                <w:w w:val="71"/>
                <w:vertAlign w:val="subscript"/>
              </w:rPr>
              <w:t>S</w:t>
            </w:r>
            <w:r>
              <w:rPr>
                <w:rFonts w:ascii="Arial" w:cs="Arial" w:eastAsia="Arial" w:hAnsi="Arial"/>
                <w:sz w:val="11"/>
                <w:szCs w:val="11"/>
                <w:color w:val="008000"/>
                <w:w w:val="71"/>
              </w:rPr>
              <w:t>(1)</w:t>
            </w:r>
          </w:p>
        </w:tc>
        <w:tc>
          <w:tcPr>
            <w:tcW w:w="480" w:type="dxa"/>
            <w:vAlign w:val="bottom"/>
          </w:tcPr>
          <w:p>
            <w:pPr>
              <w:spacing w:after="0"/>
              <w:rPr>
                <w:sz w:val="18"/>
                <w:szCs w:val="18"/>
                <w:color w:val="auto"/>
              </w:rPr>
            </w:pPr>
          </w:p>
        </w:tc>
        <w:tc>
          <w:tcPr>
            <w:tcW w:w="720" w:type="dxa"/>
            <w:vAlign w:val="bottom"/>
            <w:vMerge w:val="restart"/>
          </w:tcPr>
          <w:p>
            <w:pPr>
              <w:jc w:val="right"/>
              <w:ind w:right="145"/>
              <w:spacing w:after="0"/>
              <w:rPr>
                <w:sz w:val="20"/>
                <w:szCs w:val="20"/>
                <w:color w:val="auto"/>
              </w:rPr>
            </w:pPr>
            <w:r>
              <w:rPr>
                <w:rFonts w:ascii="Arial" w:cs="Arial" w:eastAsia="Arial" w:hAnsi="Arial"/>
                <w:sz w:val="17"/>
                <w:szCs w:val="17"/>
                <w:color w:val="0000FF"/>
              </w:rPr>
              <w:t>300</w:t>
            </w:r>
          </w:p>
        </w:tc>
        <w:tc>
          <w:tcPr>
            <w:tcW w:w="340" w:type="dxa"/>
            <w:vAlign w:val="bottom"/>
            <w:vMerge w:val="restart"/>
          </w:tcPr>
          <w:p>
            <w:pPr>
              <w:jc w:val="center"/>
              <w:ind w:left="141"/>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18"/>
                <w:szCs w:val="18"/>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376.61</w:t>
            </w:r>
            <w:r>
              <w:rPr>
                <w:rFonts w:ascii="Arial" w:cs="Arial" w:eastAsia="Arial" w:hAnsi="Arial"/>
                <w:sz w:val="22"/>
                <w:szCs w:val="22"/>
                <w:color w:val="008000"/>
                <w:w w:val="86"/>
                <w:vertAlign w:val="superscript"/>
              </w:rPr>
              <w:t>(31)</w:t>
            </w:r>
          </w:p>
        </w:tc>
        <w:tc>
          <w:tcPr>
            <w:tcW w:w="11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112,403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estate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2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8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-4887595</wp:posOffset>
            </wp:positionV>
            <wp:extent cx="7031355" cy="4933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031355" cy="493331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$340.21 to $341.20.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$341.27 to $342.20.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$342.27 to $343.24.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$343.27 to $344.21.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$344.37 to $345.35.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$345.41 to $346.38.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$346.60 to $347.22.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$347.61 to $348.59.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$348.62 to $349.55.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23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$349.68 to $350.13.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$350.75 to $351.72.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$351.75 to $352.49.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$352.95 to $353.77.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308" w:lineRule="auto"/>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$354.16 to $354.97. The Reporting Person undertakes to provide the Issuer, any security holder of the Issuer, or the staff at the Securities and Exchange Commission, upon request, the full information regarding the number of shares sold at each separate price within the</w:t>
      </w:r>
    </w:p>
    <w:p>
      <w:pPr>
        <w:sectPr>
          <w:pgSz w:w="11900" w:h="16838" w:orient="portrait"/>
          <w:cols w:equalWidth="0" w:num="1">
            <w:col w:w="11080"/>
          </w:cols>
          <w:pgMar w:left="460" w:top="187" w:right="359" w:bottom="0" w:gutter="0" w:footer="0" w:header="0"/>
        </w:sectPr>
      </w:pPr>
    </w:p>
    <w:bookmarkStart w:id="3" w:name="page4"/>
    <w:bookmarkEnd w:id="3"/>
    <w:p>
      <w:pPr>
        <w:spacing w:after="0"/>
        <w:rPr>
          <w:sz w:val="20"/>
          <w:szCs w:val="20"/>
          <w:color w:val="auto"/>
        </w:rPr>
      </w:pPr>
      <w:r>
        <w:rPr>
          <w:rFonts w:ascii="Arial" w:cs="Arial" w:eastAsia="Arial" w:hAnsi="Arial"/>
          <w:sz w:val="13"/>
          <w:szCs w:val="13"/>
          <w:color w:val="008000"/>
        </w:rPr>
        <w:t>ranges set forth above.</w:t>
      </w:r>
    </w:p>
    <w:p>
      <w:pPr>
        <w:spacing w:after="0" w:line="50" w:lineRule="exact"/>
        <w:rPr>
          <w:sz w:val="20"/>
          <w:szCs w:val="20"/>
          <w:color w:val="auto"/>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$355.72 to $356.59.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$356.82 to $357.69.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$357.83 to $358.76.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$358.91 to $359.86.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$359.99 to $360.83.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$361.31 to $362.30.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$362.35 to $363.24.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$363.49 to $364.04.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$364.49 to $365.48.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$365.83 to $366.64.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$366.97 to $367.49.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$368.53 to $369.50.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$369.99 to $370.80.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$372.54 to $372.54.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$374.51 to $374.51.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$376.49 to $376.85.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Form 1 of 2</w:t>
      </w:r>
    </w:p>
    <w:p>
      <w:pPr>
        <w:spacing w:after="0" w:line="6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Jung Yeon Son, Attorney-</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03/05/2021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409324"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2021-03-05T16:08:58Z</dcterms:created>
  <dcterms:modified xsi:type="dcterms:W3CDTF">2021-03-05T16:08:58Z</dcterms:modified>
</cp:coreProperties>
</file>