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7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70060"/>
                    </a:xfrm>
                    <a:prstGeom prst="rect">
                      <a:avLst/>
                    </a:prstGeom>
                    <a:noFill/>
                  </pic:spPr>
                </pic:pic>
              </a:graphicData>
            </a:graphic>
          </wp:anchor>
        </w:drawing>
      </w:r>
    </w:p>
    <w:p>
      <w:pPr>
        <w:spacing w:after="0" w:line="43" w:lineRule="exact"/>
        <w:rPr>
          <w:sz w:val="24"/>
          <w:szCs w:val="24"/>
          <w:color w:val="auto"/>
        </w:rPr>
      </w:pPr>
    </w:p>
    <w:p>
      <w:pPr>
        <w:sectPr>
          <w:pgSz w:w="11900" w:h="16842" w:orient="portrait"/>
          <w:cols w:equalWidth="0" w:num="2">
            <w:col w:w="2300" w:space="420"/>
            <w:col w:w="8800"/>
          </w:cols>
          <w:pgMar w:left="240" w:top="223"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7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vMerge w:val="restart"/>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12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11/18/2019</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p>
      <w:pPr>
        <w:ind w:left="543"/>
        <w:spacing w:after="0"/>
        <w:tabs>
          <w:tab w:leader="none" w:pos="1842" w:val="left"/>
          <w:tab w:leader="none" w:pos="21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7" w:lineRule="exact"/>
        <w:rPr>
          <w:sz w:val="20"/>
          <w:szCs w:val="20"/>
          <w:color w:val="auto"/>
        </w:rPr>
      </w:pPr>
    </w:p>
    <w:p>
      <w:pPr>
        <w:sectPr>
          <w:pgSz w:w="11900" w:h="16842" w:orient="portrait"/>
          <w:cols w:equalWidth="0" w:num="2">
            <w:col w:w="7980" w:space="57"/>
            <w:col w:w="3483"/>
          </w:cols>
          <w:pgMar w:left="240" w:top="223" w:right="139" w:bottom="0" w:gutter="0" w:footer="0" w:header="0"/>
          <w:type w:val="continuous"/>
        </w:sectPr>
      </w:pP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3"/>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80" w:hanging="3976"/>
        <w:spacing w:after="0" w:line="24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ectPr>
          <w:pgSz w:w="11900" w:h="16842" w:orient="portrait"/>
          <w:cols w:equalWidth="0" w:num="2">
            <w:col w:w="7320" w:space="720"/>
            <w:col w:w="348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2"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11/18/2019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line="21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222,850</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line="21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0.00</w:t>
            </w:r>
            <w:r>
              <w:rPr>
                <w:rFonts w:ascii="Arial" w:cs="Arial" w:eastAsia="Arial" w:hAnsi="Arial"/>
                <w:sz w:val="9"/>
                <w:szCs w:val="9"/>
                <w:color w:val="008000"/>
              </w:rPr>
              <w:t>(1)(2)</w:t>
            </w: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color w:val="0000FF"/>
                <w:w w:val="91"/>
              </w:rPr>
              <w:t>222,850</w:t>
            </w: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11/18/2019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222,850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line="21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0.00</w:t>
            </w:r>
            <w:r>
              <w:rPr>
                <w:rFonts w:ascii="Arial" w:cs="Arial" w:eastAsia="Arial" w:hAnsi="Arial"/>
                <w:sz w:val="9"/>
                <w:szCs w:val="9"/>
                <w:color w:val="008000"/>
              </w:rPr>
              <w:t>(1)(2)</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11/18/2019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92"/>
                <w:vertAlign w:val="subscript"/>
              </w:rPr>
              <w:t>C</w:t>
            </w:r>
            <w:r>
              <w:rPr>
                <w:rFonts w:ascii="Arial" w:cs="Arial" w:eastAsia="Arial" w:hAnsi="Arial"/>
                <w:sz w:val="10"/>
                <w:szCs w:val="10"/>
                <w:color w:val="008000"/>
                <w:w w:val="92"/>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27,150</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line="210"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color w:val="0000FF"/>
                <w:w w:val="92"/>
              </w:rPr>
              <w:t>27,150</w:t>
            </w: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11/18/2019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27,150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line="210"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40" w:type="dxa"/>
            <w:vAlign w:val="bottom"/>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40" w:type="dxa"/>
            <w:vAlign w:val="bottom"/>
            <w:gridSpan w:val="12"/>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2"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of 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restart"/>
          </w:tcPr>
          <w:p>
            <w:pPr>
              <w:ind w:left="80"/>
              <w:spacing w:after="0" w:line="297" w:lineRule="exact"/>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20"/>
              <w:spacing w:after="0" w:line="144" w:lineRule="exact"/>
              <w:rPr>
                <w:sz w:val="20"/>
                <w:szCs w:val="20"/>
                <w:color w:val="auto"/>
              </w:rPr>
            </w:pPr>
            <w:r>
              <w:rPr>
                <w:rFonts w:ascii="Arial" w:cs="Arial" w:eastAsia="Arial" w:hAnsi="Arial"/>
                <w:sz w:val="13"/>
                <w:szCs w:val="13"/>
                <w:color w:val="0000FF"/>
                <w:w w:val="98"/>
              </w:rPr>
              <w:t>Class A</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222,850</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Emergence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jc w:val="right"/>
              <w:ind w:right="222"/>
              <w:spacing w:after="0"/>
              <w:rPr>
                <w:sz w:val="20"/>
                <w:szCs w:val="20"/>
                <w:color w:val="auto"/>
              </w:rPr>
            </w:pPr>
            <w:r>
              <w:rPr>
                <w:rFonts w:ascii="Arial" w:cs="Arial" w:eastAsia="Arial" w:hAnsi="Arial"/>
                <w:sz w:val="11"/>
                <w:szCs w:val="11"/>
                <w:color w:val="008000"/>
              </w:rPr>
              <w:t>(1)(2)</w:t>
            </w:r>
          </w:p>
        </w:tc>
        <w:tc>
          <w:tcPr>
            <w:tcW w:w="1120" w:type="dxa"/>
            <w:vAlign w:val="bottom"/>
          </w:tcPr>
          <w:p>
            <w:pPr>
              <w:ind w:left="240"/>
              <w:spacing w:after="0"/>
              <w:rPr>
                <w:sz w:val="20"/>
                <w:szCs w:val="20"/>
                <w:color w:val="auto"/>
              </w:rPr>
            </w:pPr>
            <w:r>
              <w:rPr>
                <w:rFonts w:ascii="Arial" w:cs="Arial" w:eastAsia="Arial" w:hAnsi="Arial"/>
                <w:sz w:val="13"/>
                <w:szCs w:val="13"/>
                <w:color w:val="0000FF"/>
              </w:rPr>
              <w:t>11/18/2019</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0000FF"/>
              </w:rPr>
              <w:t>222,850</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3"/>
                <w:szCs w:val="13"/>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20" w:type="dxa"/>
            <w:vAlign w:val="bottom"/>
          </w:tcPr>
          <w:p>
            <w:pPr>
              <w:jc w:val="right"/>
              <w:ind w:right="60"/>
              <w:spacing w:after="0"/>
              <w:rPr>
                <w:sz w:val="20"/>
                <w:szCs w:val="20"/>
                <w:color w:val="auto"/>
              </w:rPr>
            </w:pPr>
            <w:r>
              <w:rPr>
                <w:rFonts w:ascii="Arial" w:cs="Arial" w:eastAsia="Arial" w:hAnsi="Arial"/>
                <w:sz w:val="13"/>
                <w:szCs w:val="13"/>
                <w:color w:val="0000FF"/>
              </w:rPr>
              <w:t>26,063,916</w:t>
            </w:r>
          </w:p>
        </w:tc>
        <w:tc>
          <w:tcPr>
            <w:tcW w:w="520" w:type="dxa"/>
            <w:vAlign w:val="bottom"/>
          </w:tcPr>
          <w:p>
            <w:pPr>
              <w:ind w:left="42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80"/>
              <w:spacing w:after="0" w:line="131"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Partners III,</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gridSpan w:val="3"/>
          </w:tcPr>
          <w:p>
            <w:pPr>
              <w:ind w:left="60"/>
              <w:spacing w:after="0" w:line="236"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vMerge w:val="restart"/>
          </w:tcPr>
          <w:p>
            <w:pPr>
              <w:jc w:val="right"/>
              <w:ind w:right="102"/>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0000FF"/>
                <w:w w:val="98"/>
              </w:rPr>
              <w:t>Class A</w:t>
            </w:r>
          </w:p>
        </w:tc>
        <w:tc>
          <w:tcPr>
            <w:tcW w:w="740" w:type="dxa"/>
            <w:vAlign w:val="bottom"/>
            <w:vMerge w:val="restart"/>
          </w:tcPr>
          <w:p>
            <w:pPr>
              <w:jc w:val="right"/>
              <w:ind w:right="34"/>
              <w:spacing w:after="0"/>
              <w:rPr>
                <w:sz w:val="20"/>
                <w:szCs w:val="20"/>
                <w:color w:val="auto"/>
              </w:rPr>
            </w:pPr>
            <w:r>
              <w:rPr>
                <w:rFonts w:ascii="Arial" w:cs="Arial" w:eastAsia="Arial" w:hAnsi="Arial"/>
                <w:sz w:val="17"/>
                <w:szCs w:val="17"/>
                <w:color w:val="0000FF"/>
              </w:rPr>
              <w:t>27,150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 EZP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tcPr>
          <w:p>
            <w:pPr>
              <w:jc w:val="right"/>
              <w:ind w:right="282"/>
              <w:spacing w:after="0"/>
              <w:rPr>
                <w:sz w:val="20"/>
                <w:szCs w:val="20"/>
                <w:color w:val="auto"/>
              </w:rPr>
            </w:pPr>
            <w:r>
              <w:rPr>
                <w:rFonts w:ascii="Arial" w:cs="Arial" w:eastAsia="Arial" w:hAnsi="Arial"/>
                <w:sz w:val="11"/>
                <w:szCs w:val="11"/>
                <w:color w:val="008000"/>
              </w:rPr>
              <w:t>(4)</w:t>
            </w:r>
          </w:p>
        </w:tc>
        <w:tc>
          <w:tcPr>
            <w:tcW w:w="1120" w:type="dxa"/>
            <w:vAlign w:val="bottom"/>
          </w:tcPr>
          <w:p>
            <w:pPr>
              <w:ind w:left="240"/>
              <w:spacing w:after="0" w:line="148" w:lineRule="exact"/>
              <w:rPr>
                <w:sz w:val="20"/>
                <w:szCs w:val="20"/>
                <w:color w:val="auto"/>
              </w:rPr>
            </w:pPr>
            <w:r>
              <w:rPr>
                <w:rFonts w:ascii="Arial" w:cs="Arial" w:eastAsia="Arial" w:hAnsi="Arial"/>
                <w:sz w:val="13"/>
                <w:szCs w:val="13"/>
                <w:color w:val="0000FF"/>
              </w:rPr>
              <w:t>11/18/2019</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0000FF"/>
              </w:rPr>
              <w:t>27,150</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line="14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780" w:type="dxa"/>
            <w:vAlign w:val="bottom"/>
            <w:gridSpan w:val="2"/>
          </w:tcPr>
          <w:p>
            <w:pPr>
              <w:jc w:val="right"/>
              <w:ind w:right="201"/>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20" w:type="dxa"/>
            <w:vAlign w:val="bottom"/>
          </w:tcPr>
          <w:p>
            <w:pPr>
              <w:jc w:val="right"/>
              <w:ind w:right="80"/>
              <w:spacing w:after="0" w:line="148" w:lineRule="exact"/>
              <w:rPr>
                <w:sz w:val="20"/>
                <w:szCs w:val="20"/>
                <w:color w:val="auto"/>
              </w:rPr>
            </w:pPr>
            <w:r>
              <w:rPr>
                <w:rFonts w:ascii="Arial" w:cs="Arial" w:eastAsia="Arial" w:hAnsi="Arial"/>
                <w:sz w:val="13"/>
                <w:szCs w:val="13"/>
                <w:color w:val="0000FF"/>
              </w:rPr>
              <w:t>3,174,909</w:t>
            </w:r>
          </w:p>
        </w:tc>
        <w:tc>
          <w:tcPr>
            <w:tcW w:w="520" w:type="dxa"/>
            <w:vAlign w:val="bottom"/>
          </w:tcPr>
          <w:p>
            <w:pPr>
              <w:ind w:left="420"/>
              <w:spacing w:after="0" w:line="14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8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Opportunity,</w:t>
            </w:r>
          </w:p>
        </w:tc>
        <w:tc>
          <w:tcPr>
            <w:tcW w:w="0" w:type="dxa"/>
            <w:vAlign w:val="bottom"/>
          </w:tcPr>
          <w:p>
            <w:pPr>
              <w:spacing w:after="0"/>
              <w:rPr>
                <w:sz w:val="1"/>
                <w:szCs w:val="1"/>
                <w:color w:val="auto"/>
              </w:rPr>
            </w:pPr>
          </w:p>
        </w:tc>
      </w:tr>
      <w:tr>
        <w:trPr>
          <w:trHeight w:val="275"/>
        </w:trPr>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Stock</w:t>
            </w:r>
          </w:p>
        </w:tc>
        <w:tc>
          <w:tcPr>
            <w:tcW w:w="7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gridSpan w:val="3"/>
          </w:tcPr>
          <w:p>
            <w:pPr>
              <w:ind w:left="60"/>
              <w:spacing w:after="0" w:line="229"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5"/>
          </w:tcPr>
          <w:p>
            <w:pPr>
              <w:spacing w:after="0" w:line="218" w:lineRule="exact"/>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SAN MATEO</w:t>
            </w:r>
          </w:p>
        </w:tc>
        <w:tc>
          <w:tcPr>
            <w:tcW w:w="1120" w:type="dxa"/>
            <w:vAlign w:val="bottom"/>
          </w:tcPr>
          <w:p>
            <w:pPr>
              <w:ind w:left="60"/>
              <w:spacing w:after="0"/>
              <w:rPr>
                <w:sz w:val="20"/>
                <w:szCs w:val="20"/>
                <w:color w:val="auto"/>
              </w:rPr>
            </w:pPr>
            <w:r>
              <w:rPr>
                <w:rFonts w:ascii="Arial" w:cs="Arial" w:eastAsia="Arial" w:hAnsi="Arial"/>
                <w:sz w:val="17"/>
                <w:szCs w:val="17"/>
                <w:color w:val="0000FF"/>
              </w:rPr>
              <w:t>CA</w:t>
            </w:r>
          </w:p>
        </w:tc>
        <w:tc>
          <w:tcPr>
            <w:tcW w:w="1080" w:type="dxa"/>
            <w:vAlign w:val="bottom"/>
            <w:gridSpan w:val="2"/>
          </w:tcPr>
          <w:p>
            <w:pPr>
              <w:ind w:left="400"/>
              <w:spacing w:after="0"/>
              <w:rPr>
                <w:sz w:val="20"/>
                <w:szCs w:val="20"/>
                <w:color w:val="auto"/>
              </w:rPr>
            </w:pPr>
            <w:r>
              <w:rPr>
                <w:rFonts w:ascii="Arial" w:cs="Arial" w:eastAsia="Arial" w:hAnsi="Arial"/>
                <w:sz w:val="17"/>
                <w:szCs w:val="17"/>
                <w:color w:val="0000FF"/>
              </w:rPr>
              <w:t>94402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-3952875</wp:posOffset>
            </wp:positionV>
            <wp:extent cx="24130" cy="239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392045"/>
                    </a:xfrm>
                    <a:prstGeom prst="rect">
                      <a:avLst/>
                    </a:prstGeom>
                    <a:noFill/>
                  </pic:spPr>
                </pic:pic>
              </a:graphicData>
            </a:graphic>
          </wp:anchor>
        </w:drawing>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42" w:orient="portrait"/>
          <w:cols w:equalWidth="0" w:num="1">
            <w:col w:w="11520"/>
          </w:cols>
          <w:pgMar w:left="240" w:top="223" w:right="1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Emergence Equity Partners III, L.P.</w:t>
        </w:r>
      </w:hyperlink>
    </w:p>
    <w:p>
      <w:pPr>
        <w:sectPr>
          <w:pgSz w:w="11900" w:h="16842" w:orient="portrait"/>
          <w:cols w:equalWidth="0" w:num="1">
            <w:col w:w="11520"/>
          </w:cols>
          <w:pgMar w:left="240" w:top="223"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4"/>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3"/>
          </w:tcPr>
          <w:p>
            <w:pPr>
              <w:spacing w:after="0" w:line="218" w:lineRule="exact"/>
              <w:rPr>
                <w:rFonts w:ascii="Arial" w:cs="Arial" w:eastAsia="Arial" w:hAnsi="Arial"/>
                <w:sz w:val="21"/>
                <w:szCs w:val="21"/>
                <w:color w:val="0000EE"/>
              </w:rPr>
            </w:pPr>
            <w:hyperlink r:id="rId16">
              <w:r>
                <w:rPr>
                  <w:rFonts w:ascii="Arial" w:cs="Arial" w:eastAsia="Arial" w:hAnsi="Arial"/>
                  <w:sz w:val="21"/>
                  <w:szCs w:val="21"/>
                  <w:color w:val="0000EE"/>
                </w:rPr>
                <w:t>EZP Opportunity, L.P.</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5445" cy="4471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5445" cy="4471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EMERGENCE GP PARTNERS, LLC</w:t>
        </w:r>
      </w:hyperlink>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2620" w:type="dxa"/>
            <w:vAlign w:val="bottom"/>
            <w:gridSpan w:val="2"/>
          </w:tcPr>
          <w:p>
            <w:pPr>
              <w:ind w:left="20"/>
              <w:spacing w:after="0"/>
              <w:rPr>
                <w:sz w:val="20"/>
                <w:szCs w:val="20"/>
                <w:color w:val="auto"/>
              </w:rPr>
            </w:pPr>
            <w:r>
              <w:rPr>
                <w:rFonts w:ascii="Arial" w:cs="Arial" w:eastAsia="Arial" w:hAnsi="Arial"/>
                <w:sz w:val="17"/>
                <w:szCs w:val="17"/>
                <w:color w:val="0000FF"/>
              </w:rPr>
              <w:t>160 BOVET ROAD, SUITE 300</w:t>
            </w:r>
          </w:p>
        </w:tc>
        <w:tc>
          <w:tcPr>
            <w:tcW w:w="1740" w:type="dxa"/>
            <w:vAlign w:val="bottom"/>
          </w:tcPr>
          <w:p>
            <w:pPr>
              <w:spacing w:after="0"/>
              <w:rPr>
                <w:sz w:val="23"/>
                <w:szCs w:val="23"/>
                <w:color w:val="auto"/>
              </w:rPr>
            </w:pPr>
          </w:p>
        </w:tc>
      </w:tr>
      <w:tr>
        <w:trPr>
          <w:trHeight w:val="206"/>
        </w:trPr>
        <w:tc>
          <w:tcPr>
            <w:tcW w:w="2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r>
      <w:tr>
        <w:trPr>
          <w:trHeight w:val="261"/>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1380" w:type="dxa"/>
            <w:vAlign w:val="bottom"/>
          </w:tcPr>
          <w:p>
            <w:pPr>
              <w:ind w:left="24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94402</w:t>
            </w:r>
          </w:p>
        </w:tc>
      </w:tr>
      <w:tr>
        <w:trPr>
          <w:trHeight w:val="153"/>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20" w:right="20" w:firstLine="4"/>
        <w:spacing w:after="0"/>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18, 2019, Emergence Capital Partners III, L.P. ("Emergence") converted in the aggregate 222,850 shares of the Issuer's Class B Common Stock into 222,850 shares of the Issuer's Class A Common Stock. Subsequently on the same date, Emergence distributed in-kind, without consideration, all 222,850 shares of Class A Common Stock pro-rata to its partners, including its limited partners and its general partner, Emergence Equity Partners III, L.P. ("EEP III"), in accordance with the exemption under Rule 16a-9(a) and Rule 16a-13 of the Securities Exchange Act of 1934, as amended. This distribution is being made pursuant to a 10b5-1 plan adopted by Emergence on September 27, 2019.</w:t>
      </w:r>
    </w:p>
    <w:p>
      <w:pPr>
        <w:spacing w:after="0" w:line="31" w:lineRule="exact"/>
        <w:rPr>
          <w:rFonts w:ascii="Arial" w:cs="Arial" w:eastAsia="Arial" w:hAnsi="Arial"/>
          <w:sz w:val="13"/>
          <w:szCs w:val="13"/>
          <w:color w:val="008000"/>
        </w:rPr>
      </w:pPr>
    </w:p>
    <w:p>
      <w:pPr>
        <w:ind w:left="2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(9,607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2" w:lineRule="exact"/>
        <w:rPr>
          <w:rFonts w:ascii="Arial" w:cs="Arial" w:eastAsia="Arial" w:hAnsi="Arial"/>
          <w:sz w:val="13"/>
          <w:szCs w:val="13"/>
          <w:color w:val="008000"/>
        </w:rPr>
      </w:pPr>
    </w:p>
    <w:p>
      <w:pPr>
        <w:ind w:left="2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right="6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18, 2019, EZP Opportunity, L.P. ("EZP") converted in the aggregate 27,150 shares of the Issuer's Class B Common Stock into 27,150 shares of the Issuer's Class A Common Stock. Subsequently on the same date, EZP distributed in-kind, without consideration, all 27,150 shares of Class A Common Stock pro-rata to its limited partners, in accordance with the exemption under Rule 16a-9(a) and Rule 16a-13 of the Securities Exchange Act of 1934, as amended. This distribution is being made pursuant to a 10b5-1 plan adopted by EZP on September 27, 2019.</w:t>
      </w:r>
    </w:p>
    <w:p>
      <w:pPr>
        <w:spacing w:after="0" w:line="29" w:lineRule="exact"/>
        <w:rPr>
          <w:rFonts w:ascii="Arial" w:cs="Arial" w:eastAsia="Arial" w:hAnsi="Arial"/>
          <w:sz w:val="13"/>
          <w:szCs w:val="13"/>
          <w:color w:val="008000"/>
        </w:rPr>
      </w:pPr>
    </w:p>
    <w:p>
      <w:pPr>
        <w:ind w:left="20" w:right="2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right="34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60"/>
          </w:cols>
          <w:pgMar w:left="260" w:top="309" w:right="279" w:bottom="252"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69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207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Partners III,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By: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71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GP Partners,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137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91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384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45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5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17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45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3848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-9525</wp:posOffset>
            </wp:positionV>
            <wp:extent cx="1176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12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18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its 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03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703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18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101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0000FF"/>
        </w:rPr>
        <w:t>11/20/2019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0000FF"/>
        </w:rPr>
        <w:t>11/20/2019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0000FF"/>
        </w:rPr>
        <w:t>11/20/2019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9080" w:space="60"/>
            <w:col w:w="2220"/>
          </w:cols>
          <w:pgMar w:left="260" w:top="309" w:right="279" w:bottom="252"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20" w:right="3760" w:firstLine="4"/>
        <w:spacing w:after="0" w:line="314" w:lineRule="auto"/>
        <w:tabs>
          <w:tab w:leader="none" w:pos="15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309" w:right="279" w:bottom="2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5" Type="http://schemas.openxmlformats.org/officeDocument/2006/relationships/hyperlink" Target="http://www.sec.gov/cgi-bin/browse-edgar?action=getcompany&amp;CIK=0001773803" TargetMode="External"/><Relationship Id="rId16" Type="http://schemas.openxmlformats.org/officeDocument/2006/relationships/hyperlink" Target="http://www.sec.gov/cgi-bin/browse-edgar?action=getcompany&amp;CIK=0001691097" TargetMode="External"/><Relationship Id="rId18"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2019-12-23T16:10:06Z</dcterms:created>
  <dcterms:modified xsi:type="dcterms:W3CDTF">2019-12-23T16:10:06Z</dcterms:modified>
</cp:coreProperties>
</file>