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January 12, 2021.</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Zoom Video Communications, Inc.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089" w:gutter="0" w:footer="0" w:header="0"/>
        </w:sectPr>
      </w:pPr>
    </w:p>
    <w:p>
      <w:pPr>
        <w:spacing w:after="0" w:line="215" w:lineRule="exact"/>
        <w:rPr>
          <w:sz w:val="24"/>
          <w:szCs w:val="24"/>
          <w:color w:val="auto"/>
        </w:rPr>
      </w:pPr>
    </w:p>
    <w:p>
      <w:pPr>
        <w:ind w:left="260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1960"/>
        <w:spacing w:after="0"/>
        <w:rPr>
          <w:sz w:val="20"/>
          <w:szCs w:val="20"/>
          <w:color w:val="auto"/>
        </w:rPr>
      </w:pPr>
      <w:r>
        <w:rPr>
          <w:rFonts w:ascii="Arial" w:cs="Arial" w:eastAsia="Arial" w:hAnsi="Arial"/>
          <w:sz w:val="14"/>
          <w:szCs w:val="14"/>
          <w:b w:val="1"/>
          <w:bCs w:val="1"/>
          <w:color w:val="auto"/>
        </w:rPr>
        <w:t>61-1648780</w:t>
      </w:r>
    </w:p>
    <w:p>
      <w:pPr>
        <w:jc w:val="center"/>
        <w:ind w:right="1960"/>
        <w:spacing w:after="0" w:line="226" w:lineRule="auto"/>
        <w:rPr>
          <w:sz w:val="20"/>
          <w:szCs w:val="20"/>
          <w:color w:val="auto"/>
        </w:rPr>
      </w:pPr>
      <w:r>
        <w:rPr>
          <w:rFonts w:ascii="Arial" w:cs="Arial" w:eastAsia="Arial" w:hAnsi="Arial"/>
          <w:sz w:val="14"/>
          <w:szCs w:val="14"/>
          <w:b w:val="1"/>
          <w:bCs w:val="1"/>
          <w:color w:val="auto"/>
        </w:rPr>
        <w:t>(I.R.S. Employer</w:t>
      </w:r>
    </w:p>
    <w:p>
      <w:pPr>
        <w:jc w:val="center"/>
        <w:ind w:right="1960"/>
        <w:spacing w:after="0"/>
        <w:rPr>
          <w:sz w:val="20"/>
          <w:szCs w:val="20"/>
          <w:color w:val="auto"/>
        </w:rPr>
      </w:pPr>
      <w:r>
        <w:rPr>
          <w:rFonts w:ascii="Arial" w:cs="Arial" w:eastAsia="Arial" w:hAnsi="Arial"/>
          <w:sz w:val="13"/>
          <w:szCs w:val="13"/>
          <w:b w:val="1"/>
          <w:bCs w:val="1"/>
          <w:color w:val="auto"/>
        </w:rPr>
        <w:t>Identification Number)</w:t>
      </w:r>
    </w:p>
    <w:p>
      <w:pPr>
        <w:spacing w:after="0" w:line="14" w:lineRule="exact"/>
        <w:rPr>
          <w:sz w:val="24"/>
          <w:szCs w:val="24"/>
          <w:color w:val="auto"/>
        </w:rPr>
      </w:pPr>
    </w:p>
    <w:p>
      <w:pPr>
        <w:sectPr>
          <w:pgSz w:w="11900" w:h="16838" w:orient="portrait"/>
          <w:cols w:equalWidth="0" w:num="2">
            <w:col w:w="7020" w:space="720"/>
            <w:col w:w="3400"/>
          </w:cols>
          <w:pgMar w:left="320" w:top="230" w:right="439" w:bottom="1089"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55 Almaden Boulevard, 6th Floor</w:t>
      </w:r>
    </w:p>
    <w:p>
      <w:pPr>
        <w:jc w:val="center"/>
        <w:ind w:right="-119"/>
        <w:spacing w:after="0" w:line="221" w:lineRule="auto"/>
        <w:rPr>
          <w:sz w:val="20"/>
          <w:szCs w:val="20"/>
          <w:color w:val="auto"/>
        </w:rPr>
      </w:pPr>
      <w:r>
        <w:rPr>
          <w:rFonts w:ascii="Arial" w:cs="Arial" w:eastAsia="Arial" w:hAnsi="Arial"/>
          <w:sz w:val="14"/>
          <w:szCs w:val="14"/>
          <w:b w:val="1"/>
          <w:bCs w:val="1"/>
          <w:color w:val="auto"/>
        </w:rPr>
        <w:t>San Jose, California 95113</w:t>
      </w:r>
    </w:p>
    <w:p>
      <w:pPr>
        <w:jc w:val="center"/>
        <w:ind w:right="-119"/>
        <w:spacing w:after="0"/>
        <w:rPr>
          <w:sz w:val="20"/>
          <w:szCs w:val="20"/>
          <w:color w:val="auto"/>
        </w:rPr>
      </w:pPr>
      <w:r>
        <w:rPr>
          <w:rFonts w:ascii="Arial" w:cs="Arial" w:eastAsia="Arial" w:hAnsi="Arial"/>
          <w:sz w:val="12"/>
          <w:szCs w:val="12"/>
          <w:b w:val="1"/>
          <w:bCs w:val="1"/>
          <w:color w:val="auto"/>
        </w:rPr>
        <w:t>(Address of principal executive offices and Zip Code)</w:t>
      </w:r>
    </w:p>
    <w:p>
      <w:pPr>
        <w:jc w:val="center"/>
        <w:ind w:right="-119"/>
        <w:spacing w:after="0" w:line="237" w:lineRule="auto"/>
        <w:rPr>
          <w:sz w:val="20"/>
          <w:szCs w:val="20"/>
          <w:color w:val="auto"/>
        </w:rPr>
      </w:pPr>
      <w:r>
        <w:rPr>
          <w:rFonts w:ascii="Arial" w:cs="Arial" w:eastAsia="Arial" w:hAnsi="Arial"/>
          <w:sz w:val="14"/>
          <w:szCs w:val="14"/>
          <w:b w:val="1"/>
          <w:bCs w:val="1"/>
          <w:color w:val="auto"/>
        </w:rPr>
        <w:t>(888) 799-9666</w:t>
      </w: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88265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089" w:gutter="0" w:footer="0" w:header="0"/>
          <w:type w:val="continuous"/>
        </w:sectPr>
      </w:pPr>
    </w:p>
    <w:p>
      <w:pPr>
        <w:spacing w:after="0" w:line="15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Eric S. Yuan</w:t>
      </w:r>
    </w:p>
    <w:p>
      <w:pPr>
        <w:jc w:val="center"/>
        <w:ind w:right="-1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Zoom Video Communications, Inc.</w:t>
      </w:r>
    </w:p>
    <w:p>
      <w:pPr>
        <w:jc w:val="center"/>
        <w:ind w:right="-119"/>
        <w:spacing w:after="0" w:line="222" w:lineRule="auto"/>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119"/>
        <w:spacing w:after="0" w:line="221" w:lineRule="auto"/>
        <w:rPr>
          <w:sz w:val="20"/>
          <w:szCs w:val="20"/>
          <w:color w:val="auto"/>
        </w:rPr>
      </w:pPr>
      <w:r>
        <w:rPr>
          <w:rFonts w:ascii="Arial" w:cs="Arial" w:eastAsia="Arial" w:hAnsi="Arial"/>
          <w:sz w:val="14"/>
          <w:szCs w:val="14"/>
          <w:b w:val="1"/>
          <w:bCs w:val="1"/>
          <w:color w:val="auto"/>
        </w:rPr>
        <w:t>San Jose, California 95113</w:t>
      </w:r>
    </w:p>
    <w:p>
      <w:pPr>
        <w:jc w:val="center"/>
        <w:ind w:right="-119"/>
        <w:spacing w:after="0" w:line="222" w:lineRule="auto"/>
        <w:rPr>
          <w:sz w:val="20"/>
          <w:szCs w:val="20"/>
          <w:color w:val="auto"/>
        </w:rPr>
      </w:pPr>
      <w:r>
        <w:rPr>
          <w:rFonts w:ascii="Arial" w:cs="Arial" w:eastAsia="Arial" w:hAnsi="Arial"/>
          <w:sz w:val="14"/>
          <w:szCs w:val="14"/>
          <w:b w:val="1"/>
          <w:bCs w:val="1"/>
          <w:color w:val="auto"/>
        </w:rPr>
        <w:t>(888) 799-9666</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8"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2460" w:type="dxa"/>
            <w:vAlign w:val="bottom"/>
          </w:tcPr>
          <w:p>
            <w:pPr>
              <w:spacing w:after="0"/>
              <w:rPr>
                <w:sz w:val="15"/>
                <w:szCs w:val="15"/>
                <w:color w:val="auto"/>
              </w:rPr>
            </w:pPr>
          </w:p>
        </w:tc>
        <w:tc>
          <w:tcPr>
            <w:tcW w:w="4960" w:type="dxa"/>
            <w:vAlign w:val="bottom"/>
          </w:tcPr>
          <w:p>
            <w:pPr>
              <w:ind w:left="800"/>
              <w:spacing w:after="0"/>
              <w:rPr>
                <w:sz w:val="20"/>
                <w:szCs w:val="20"/>
                <w:color w:val="auto"/>
              </w:rPr>
            </w:pPr>
            <w:r>
              <w:rPr>
                <w:rFonts w:ascii="Arial" w:cs="Arial" w:eastAsia="Arial" w:hAnsi="Arial"/>
                <w:sz w:val="14"/>
                <w:szCs w:val="14"/>
                <w:b w:val="1"/>
                <w:bCs w:val="1"/>
                <w:i w:val="1"/>
                <w:iCs w:val="1"/>
                <w:color w:val="auto"/>
              </w:rPr>
              <w:t>Copies to:</w:t>
            </w:r>
          </w:p>
        </w:tc>
      </w:tr>
      <w:tr>
        <w:trPr>
          <w:trHeight w:val="151"/>
        </w:trPr>
        <w:tc>
          <w:tcPr>
            <w:tcW w:w="2460" w:type="dxa"/>
            <w:vAlign w:val="bottom"/>
          </w:tcPr>
          <w:p>
            <w:pPr>
              <w:jc w:val="center"/>
              <w:ind w:right="708"/>
              <w:spacing w:after="0" w:line="151" w:lineRule="exact"/>
              <w:rPr>
                <w:sz w:val="20"/>
                <w:szCs w:val="20"/>
                <w:color w:val="auto"/>
              </w:rPr>
            </w:pPr>
            <w:r>
              <w:rPr>
                <w:rFonts w:ascii="Arial" w:cs="Arial" w:eastAsia="Arial" w:hAnsi="Arial"/>
                <w:sz w:val="14"/>
                <w:szCs w:val="14"/>
                <w:b w:val="1"/>
                <w:bCs w:val="1"/>
                <w:color w:val="auto"/>
                <w:w w:val="94"/>
              </w:rPr>
              <w:t>Jon C. Avina</w:t>
            </w:r>
          </w:p>
        </w:tc>
        <w:tc>
          <w:tcPr>
            <w:tcW w:w="4960" w:type="dxa"/>
            <w:vAlign w:val="bottom"/>
          </w:tcPr>
          <w:p>
            <w:pPr>
              <w:jc w:val="center"/>
              <w:ind w:left="2848"/>
              <w:spacing w:after="0" w:line="151" w:lineRule="exact"/>
              <w:rPr>
                <w:sz w:val="20"/>
                <w:szCs w:val="20"/>
                <w:color w:val="auto"/>
              </w:rPr>
            </w:pPr>
            <w:r>
              <w:rPr>
                <w:rFonts w:ascii="Arial" w:cs="Arial" w:eastAsia="Arial" w:hAnsi="Arial"/>
                <w:sz w:val="14"/>
                <w:szCs w:val="14"/>
                <w:b w:val="1"/>
                <w:bCs w:val="1"/>
                <w:color w:val="auto"/>
                <w:w w:val="94"/>
              </w:rPr>
              <w:t>Aparna Bawa</w:t>
            </w:r>
          </w:p>
        </w:tc>
      </w:tr>
      <w:tr>
        <w:trPr>
          <w:trHeight w:val="148"/>
        </w:trPr>
        <w:tc>
          <w:tcPr>
            <w:tcW w:w="24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0"/>
              </w:rPr>
              <w:t>Calise Y. Cheng</w:t>
            </w:r>
          </w:p>
        </w:tc>
        <w:tc>
          <w:tcPr>
            <w:tcW w:w="4960" w:type="dxa"/>
            <w:vAlign w:val="bottom"/>
          </w:tcPr>
          <w:p>
            <w:pPr>
              <w:jc w:val="center"/>
              <w:ind w:left="2848"/>
              <w:spacing w:after="0" w:line="149" w:lineRule="exact"/>
              <w:rPr>
                <w:sz w:val="20"/>
                <w:szCs w:val="20"/>
                <w:color w:val="auto"/>
              </w:rPr>
            </w:pPr>
            <w:r>
              <w:rPr>
                <w:rFonts w:ascii="Arial" w:cs="Arial" w:eastAsia="Arial" w:hAnsi="Arial"/>
                <w:sz w:val="14"/>
                <w:szCs w:val="14"/>
                <w:b w:val="1"/>
                <w:bCs w:val="1"/>
                <w:color w:val="auto"/>
                <w:w w:val="93"/>
              </w:rPr>
              <w:t>Jeffrey C. True</w:t>
            </w:r>
          </w:p>
        </w:tc>
      </w:tr>
      <w:tr>
        <w:trPr>
          <w:trHeight w:val="149"/>
        </w:trPr>
        <w:tc>
          <w:tcPr>
            <w:tcW w:w="24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5"/>
              </w:rPr>
              <w:t>Alex K. Kassai</w:t>
            </w:r>
          </w:p>
        </w:tc>
        <w:tc>
          <w:tcPr>
            <w:tcW w:w="4960" w:type="dxa"/>
            <w:vAlign w:val="bottom"/>
          </w:tcPr>
          <w:p>
            <w:pPr>
              <w:jc w:val="center"/>
              <w:ind w:left="2848"/>
              <w:spacing w:after="0" w:line="149" w:lineRule="exact"/>
              <w:rPr>
                <w:sz w:val="20"/>
                <w:szCs w:val="20"/>
                <w:color w:val="auto"/>
              </w:rPr>
            </w:pPr>
            <w:r>
              <w:rPr>
                <w:rFonts w:ascii="Arial" w:cs="Arial" w:eastAsia="Arial" w:hAnsi="Arial"/>
                <w:sz w:val="14"/>
                <w:szCs w:val="14"/>
                <w:b w:val="1"/>
                <w:bCs w:val="1"/>
                <w:color w:val="auto"/>
                <w:w w:val="94"/>
              </w:rPr>
              <w:t>55 Almaden Boulevard, 6</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w:t>
            </w:r>
          </w:p>
        </w:tc>
      </w:tr>
      <w:tr>
        <w:trPr>
          <w:trHeight w:val="148"/>
        </w:trPr>
        <w:tc>
          <w:tcPr>
            <w:tcW w:w="24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2"/>
              </w:rPr>
              <w:t>Julia R. Boesch</w:t>
            </w:r>
          </w:p>
        </w:tc>
        <w:tc>
          <w:tcPr>
            <w:tcW w:w="4960" w:type="dxa"/>
            <w:vAlign w:val="bottom"/>
          </w:tcPr>
          <w:p>
            <w:pPr>
              <w:jc w:val="center"/>
              <w:ind w:left="2848"/>
              <w:spacing w:after="0" w:line="149" w:lineRule="exact"/>
              <w:rPr>
                <w:sz w:val="20"/>
                <w:szCs w:val="20"/>
                <w:color w:val="auto"/>
              </w:rPr>
            </w:pPr>
            <w:r>
              <w:rPr>
                <w:rFonts w:ascii="Arial" w:cs="Arial" w:eastAsia="Arial" w:hAnsi="Arial"/>
                <w:sz w:val="14"/>
                <w:szCs w:val="14"/>
                <w:b w:val="1"/>
                <w:bCs w:val="1"/>
                <w:color w:val="auto"/>
                <w:w w:val="92"/>
              </w:rPr>
              <w:t>San Jose, California 95113</w:t>
            </w:r>
          </w:p>
        </w:tc>
      </w:tr>
      <w:tr>
        <w:trPr>
          <w:trHeight w:val="149"/>
        </w:trPr>
        <w:tc>
          <w:tcPr>
            <w:tcW w:w="24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960" w:type="dxa"/>
            <w:vAlign w:val="bottom"/>
          </w:tcPr>
          <w:p>
            <w:pPr>
              <w:jc w:val="center"/>
              <w:ind w:left="2828"/>
              <w:spacing w:after="0" w:line="149" w:lineRule="exact"/>
              <w:rPr>
                <w:sz w:val="20"/>
                <w:szCs w:val="20"/>
                <w:color w:val="auto"/>
              </w:rPr>
            </w:pPr>
            <w:r>
              <w:rPr>
                <w:rFonts w:ascii="Arial" w:cs="Arial" w:eastAsia="Arial" w:hAnsi="Arial"/>
                <w:sz w:val="14"/>
                <w:szCs w:val="14"/>
                <w:b w:val="1"/>
                <w:bCs w:val="1"/>
                <w:color w:val="auto"/>
                <w:w w:val="93"/>
              </w:rPr>
              <w:t>(888) 799-9666</w:t>
            </w:r>
          </w:p>
        </w:tc>
      </w:tr>
      <w:tr>
        <w:trPr>
          <w:trHeight w:val="148"/>
        </w:trPr>
        <w:tc>
          <w:tcPr>
            <w:tcW w:w="246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4960" w:type="dxa"/>
            <w:vAlign w:val="bottom"/>
          </w:tcPr>
          <w:p>
            <w:pPr>
              <w:spacing w:after="0"/>
              <w:rPr>
                <w:sz w:val="12"/>
                <w:szCs w:val="12"/>
                <w:color w:val="auto"/>
              </w:rPr>
            </w:pPr>
          </w:p>
        </w:tc>
      </w:tr>
      <w:tr>
        <w:trPr>
          <w:trHeight w:val="148"/>
        </w:trPr>
        <w:tc>
          <w:tcPr>
            <w:tcW w:w="24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c>
          <w:tcPr>
            <w:tcW w:w="4960" w:type="dxa"/>
            <w:vAlign w:val="bottom"/>
          </w:tcPr>
          <w:p>
            <w:pPr>
              <w:spacing w:after="0"/>
              <w:rPr>
                <w:sz w:val="12"/>
                <w:szCs w:val="12"/>
                <w:color w:val="auto"/>
              </w:rPr>
            </w:pPr>
          </w:p>
        </w:tc>
      </w:tr>
      <w:tr>
        <w:trPr>
          <w:trHeight w:val="186"/>
        </w:trPr>
        <w:tc>
          <w:tcPr>
            <w:tcW w:w="2460" w:type="dxa"/>
            <w:vAlign w:val="bottom"/>
          </w:tcPr>
          <w:p>
            <w:pPr>
              <w:jc w:val="center"/>
              <w:ind w:right="728"/>
              <w:spacing w:after="0"/>
              <w:rPr>
                <w:sz w:val="20"/>
                <w:szCs w:val="20"/>
                <w:color w:val="auto"/>
              </w:rPr>
            </w:pPr>
            <w:r>
              <w:rPr>
                <w:rFonts w:ascii="Arial" w:cs="Arial" w:eastAsia="Arial" w:hAnsi="Arial"/>
                <w:sz w:val="14"/>
                <w:szCs w:val="14"/>
                <w:b w:val="1"/>
                <w:bCs w:val="1"/>
                <w:color w:val="auto"/>
                <w:w w:val="93"/>
              </w:rPr>
              <w:t>(650) 843-5000</w:t>
            </w:r>
          </w:p>
        </w:tc>
        <w:tc>
          <w:tcPr>
            <w:tcW w:w="49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0"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9" w:lineRule="exact"/>
        <w:rPr>
          <w:sz w:val="24"/>
          <w:szCs w:val="24"/>
          <w:color w:val="auto"/>
        </w:rPr>
      </w:pPr>
    </w:p>
    <w:p>
      <w:pPr>
        <w:ind w:left="120" w:right="58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8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2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6"/>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4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40" w:type="dxa"/>
            <w:vAlign w:val="bottom"/>
            <w:tcBorders>
              <w:right w:val="single" w:sz="8" w:color="auto"/>
            </w:tcBorders>
            <w:vMerge w:val="restart"/>
          </w:tcPr>
          <w:p>
            <w:pPr>
              <w:ind w:left="1540"/>
              <w:spacing w:after="0"/>
              <w:rPr>
                <w:sz w:val="20"/>
                <w:szCs w:val="20"/>
                <w:color w:val="auto"/>
              </w:rPr>
            </w:pPr>
            <w:r>
              <w:rPr>
                <w:rFonts w:ascii="Arial" w:cs="Arial" w:eastAsia="Arial" w:hAnsi="Arial"/>
                <w:sz w:val="14"/>
                <w:szCs w:val="14"/>
                <w:b w:val="1"/>
                <w:bCs w:val="1"/>
                <w:color w:val="auto"/>
              </w:rPr>
              <w:t>Title of Each Class of</w:t>
            </w: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9"/>
              </w:rPr>
              <w:t>Maximum</w:t>
            </w:r>
          </w:p>
        </w:tc>
        <w:tc>
          <w:tcPr>
            <w:tcW w:w="16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44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to be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right w:val="single" w:sz="8" w:color="auto"/>
            </w:tcBorders>
          </w:tcPr>
          <w:p>
            <w:pPr>
              <w:ind w:left="1400"/>
              <w:spacing w:after="0"/>
              <w:rPr>
                <w:sz w:val="20"/>
                <w:szCs w:val="20"/>
                <w:color w:val="auto"/>
              </w:rPr>
            </w:pPr>
            <w:r>
              <w:rPr>
                <w:rFonts w:ascii="Arial" w:cs="Arial" w:eastAsia="Arial" w:hAnsi="Arial"/>
                <w:sz w:val="14"/>
                <w:szCs w:val="14"/>
                <w:b w:val="1"/>
                <w:bCs w:val="1"/>
                <w:color w:val="auto"/>
              </w:rPr>
              <w:t>Securities to be Registered</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w:t>
            </w:r>
          </w:p>
        </w:tc>
        <w:tc>
          <w:tcPr>
            <w:tcW w:w="164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4"/>
              </w:rPr>
              <w:t>Offering Price</w:t>
            </w:r>
          </w:p>
        </w:tc>
        <w:tc>
          <w:tcPr>
            <w:tcW w:w="1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$0.001 per share</w:t>
            </w:r>
          </w:p>
        </w:tc>
        <w:tc>
          <w:tcPr>
            <w:tcW w:w="1660" w:type="dxa"/>
            <w:vAlign w:val="bottom"/>
            <w:tcBorders>
              <w:bottom w:val="single" w:sz="8" w:color="auto"/>
              <w:right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right"/>
              <w:ind w:right="489"/>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right"/>
              <w:ind w:right="489"/>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Preferred Stock, par value $0.001 per share</w:t>
            </w:r>
          </w:p>
        </w:tc>
        <w:tc>
          <w:tcPr>
            <w:tcW w:w="1660" w:type="dxa"/>
            <w:vAlign w:val="bottom"/>
            <w:tcBorders>
              <w:bottom w:val="single" w:sz="8" w:color="auto"/>
              <w:right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right"/>
              <w:ind w:right="489"/>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right"/>
              <w:ind w:right="489"/>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Debt Securities</w:t>
            </w:r>
          </w:p>
        </w:tc>
        <w:tc>
          <w:tcPr>
            <w:tcW w:w="1660" w:type="dxa"/>
            <w:vAlign w:val="bottom"/>
            <w:tcBorders>
              <w:bottom w:val="single" w:sz="8" w:color="auto"/>
              <w:right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right"/>
              <w:ind w:right="489"/>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right"/>
              <w:ind w:right="489"/>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4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Warrants</w:t>
            </w:r>
          </w:p>
        </w:tc>
        <w:tc>
          <w:tcPr>
            <w:tcW w:w="1660" w:type="dxa"/>
            <w:vAlign w:val="bottom"/>
            <w:tcBorders>
              <w:bottom w:val="single" w:sz="8" w:color="auto"/>
              <w:right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right"/>
              <w:ind w:right="489"/>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right w:val="single" w:sz="8" w:color="auto"/>
            </w:tcBorders>
          </w:tcPr>
          <w:p>
            <w:pPr>
              <w:jc w:val="right"/>
              <w:ind w:right="489"/>
              <w:spacing w:after="0" w:line="142" w:lineRule="exact"/>
              <w:rPr>
                <w:sz w:val="20"/>
                <w:szCs w:val="20"/>
                <w:color w:val="auto"/>
              </w:rPr>
            </w:pPr>
            <w:r>
              <w:rPr>
                <w:rFonts w:ascii="Arial" w:cs="Arial" w:eastAsia="Arial" w:hAnsi="Arial"/>
                <w:sz w:val="14"/>
                <w:szCs w:val="14"/>
                <w:color w:val="auto"/>
              </w:rPr>
              <w:t>(1)</w:t>
            </w:r>
          </w:p>
        </w:tc>
        <w:tc>
          <w:tcPr>
            <w:tcW w:w="164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line="222"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Omitted pursuant to General Instructions II.E of Form S-3. An indeterminate number or amount, as the case may be, of common stock, preferred stock, debt securities and warrants are being registered hereunder as may from time to time be issued at indeterminate prices. The securities being registered hereunder may be convertible into or exchangeable or exercisable for other securities of any identified class and may be sold separately or in combination with the other securities registered hereunder. In addition to the securities that may be issued directly under this registration statement, there is being registered hereunder such indeterminate aggregate number or amount, as the case may be, of the securities of each identified class as may from time to time be issued upon the conversion, exchange, settlement or exercise of other securities offered hereby. Separate consideration may or may not be received for securities that are issuable upon the conversion or exercise of, or in exchange for, other securities offered hereby. Any registration fees will be paid subsequently on a pay-as-you-go basis in accordance with Rule 457(r).</w:t>
      </w:r>
    </w:p>
    <w:p>
      <w:pPr>
        <w:spacing w:after="0" w:line="3"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Rules 456(b) and 457(r), the Registrant is deferring payment of all applicable registration fees.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089"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171450</wp:posOffset>
            </wp:positionV>
            <wp:extent cx="123444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Class A 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From time to time, we or selling securityholders may offer and sell any combination of the securities described in this prospectus, either individually or in combination with other securities in one or more offerings. We or selling securityholders may also offer securities as may be issuable upon conversion, redemption, repurchase, exchange or exercise of any securities registered hereunder, including any applicable antidilution provisions.</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prospectus provides a general description of the securities we may offer. Each time we or selling securityholders offer securities pursuant to this prospectus, we will provide specific terms of these offerings and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92"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Our Class A common stock is listed on The Nasdaq Global Select Market, or Nasdaq, under the symbol “ZM.” On January 11, 2021, the last reported sale price of our Class A common stock was $337.71 per share. The applicable prospectus supplement will contain information, where applicable, as to any other listing on Nasdaq or any securities market or other exchange of the securities, if any, covered by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120" w:right="12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You should review carefully the risks and uncertainties described under the heading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contained in the applicable prospectus supplement and any related free writing prospectus we have authorized for use in connection with a specific offering, and under similar headings in the other documents that are incorporated by reference into this prospectus.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a sale of any securities unless accompanied by a prospectus supplement.</w:t>
      </w:r>
    </w:p>
    <w:p>
      <w:pPr>
        <w:spacing w:after="0" w:line="22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options to purchase additional shares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spacing w:after="0" w:line="160" w:lineRule="exact"/>
        <w:rPr>
          <w:sz w:val="20"/>
          <w:szCs w:val="20"/>
          <w:color w:val="auto"/>
        </w:rPr>
      </w:pPr>
    </w:p>
    <w:p>
      <w:pPr>
        <w:ind w:left="120" w:right="58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an “emerging growth company” under the federal securities laws and are subject to reduced public company reporting requirements.</w:t>
      </w: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January 12, 2021</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SPECIAL NOTE REGARDING FORWARD-LOOKING STATEMENTS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DESCRIPTION OF CAPITAL STOCK</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DESCRIPTION OF DEBT SECURITIES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WARRANTS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OWNERSHIP OF SECURITIES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SELLING SECURITYHOLDERS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PLAN OF DISTRIBUTION</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LEGAL MATTERS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EXPERTS</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0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WHERE YOU CAN FIND ADDITIONAL INFORMATION</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0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INCORPORATION OF CERTAIN INFORMATION BY REFERENCE</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This prospectus is part of an automatic registration statement on Form S-3 that we filed with the Securities and Exchange Commission, or the SEC, utilizing a “shelf” registration process as a “well-known seasoned issuer” as defined in Rule 405 under the Securities Act of 1933, as amended, or the Securities Act. Under this shelf registration process, we or selling securityholders may offer and sell any combination of the securities described in this prospectus,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17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time we or selling securityholders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If there is any inconsistency between the information in this prospectus and the applicable prospectus supplement or free writing prospectus, you should rely on the prospectus supplement or free writing prospectus, as applicable.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spacing w:after="0" w:line="174" w:lineRule="exact"/>
        <w:rPr>
          <w:sz w:val="20"/>
          <w:szCs w:val="20"/>
          <w:color w:val="auto"/>
        </w:rPr>
      </w:pPr>
    </w:p>
    <w:p>
      <w:pPr>
        <w:ind w:left="120" w:right="76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SECURITIES UNLESS IT IS ACCOMPANIED BY A PROSPECTUS SUPPLEMENT.</w:t>
      </w:r>
    </w:p>
    <w:p>
      <w:pPr>
        <w:spacing w:after="0" w:line="16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6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71"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188"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Unless the context otherwise requires, the terms “Zoom,” “company,” “our,” “us,” and “we” in this prospectus refer to Zoom Video Communications, Inc. and where appropriate our consolidated subsidiaries. 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spacing w:after="0" w:line="293" w:lineRule="auto"/>
        <w:rPr>
          <w:sz w:val="20"/>
          <w:szCs w:val="20"/>
          <w:color w:val="auto"/>
        </w:rPr>
      </w:pPr>
      <w:r>
        <w:rPr>
          <w:rFonts w:ascii="Arial" w:cs="Arial" w:eastAsia="Arial" w:hAnsi="Arial"/>
          <w:sz w:val="16"/>
          <w:szCs w:val="16"/>
          <w:i w:val="1"/>
          <w:iCs w:val="1"/>
          <w:color w:val="auto"/>
        </w:rPr>
        <w:t>This summary highlights information contained elsewhere in this prospectus or incorporated by reference in this prospectus. This summary does not contain all of the information you should consider before investing in our securities. Before you decide to invest in our securities, you should carefully read the entire prospectus, the applicable prospectus supplement and any related free writing prospectus, including the section titled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consolidated financial statements, and the exhibits to the registration statement of which this prospectus is a part.</w:t>
      </w:r>
    </w:p>
    <w:p>
      <w:pPr>
        <w:spacing w:after="0" w:line="37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mission is to make video communications frictionless and secure.</w:t>
      </w:r>
    </w:p>
    <w:p>
      <w:pPr>
        <w:spacing w:after="0" w:line="225" w:lineRule="exact"/>
        <w:rPr>
          <w:sz w:val="20"/>
          <w:szCs w:val="20"/>
          <w:color w:val="auto"/>
        </w:rPr>
      </w:pPr>
    </w:p>
    <w:p>
      <w:pPr>
        <w:ind w:left="300" w:right="20"/>
        <w:spacing w:after="0" w:line="271" w:lineRule="auto"/>
        <w:rPr>
          <w:sz w:val="20"/>
          <w:szCs w:val="20"/>
          <w:color w:val="auto"/>
        </w:rPr>
      </w:pPr>
      <w:r>
        <w:rPr>
          <w:rFonts w:ascii="Arial" w:cs="Arial" w:eastAsia="Arial" w:hAnsi="Arial"/>
          <w:sz w:val="17"/>
          <w:szCs w:val="17"/>
          <w:color w:val="auto"/>
        </w:rPr>
        <w:t>We provide a video-first unified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applications and physical spaces. We believe that rich and reliable communications lead to interactions that build greater empathy and trust. We strive to live up to the trust our customers place in us by delivering a communications solution that “just works” while prioritizing their privacy and security. Our goal is to make Zoom Meetings better than in-person meetings. Our 21 co-located data centers located worldwide and the public cloud enable us to provide both high-quality and high-definition, real-time video to our customers even in low-bandwidth environments.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121"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sections titled “Risk Factors,” “Selected Risks Affecting Our Business,” “Risk Factor Summary,” or similar title contained in our most recent Annual Report on Form 10-K, as may be updated by our subsequent Quarterly Reports on Form 10-Q and other filings we make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prospectus. 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300"/>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(the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240" w:right="38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being required to comply for a certain period of time with the auditor attestation requirements of Section 404 of the Sarbanes-Oxley Act of 2002, as amended;</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75"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exemptions from the requirements of holding a stockholder advisory vote on executive compensation and any golden parachute payments not previously approved.</w:t>
      </w:r>
    </w:p>
    <w:p>
      <w:pPr>
        <w:spacing w:after="0" w:line="170" w:lineRule="exact"/>
        <w:rPr>
          <w:sz w:val="20"/>
          <w:szCs w:val="20"/>
          <w:color w:val="auto"/>
        </w:rPr>
      </w:pPr>
    </w:p>
    <w:p>
      <w:pPr>
        <w:ind w:left="300" w:right="40"/>
        <w:spacing w:after="0" w:line="255"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Class A common stock in our initial public offering. However, if certain events occur prior to the end of such five-year period, including if (i) we become a “large accelerated filer,” with at least $700 million of equity securities held by non-affiliates; (ii) our annual gross revenue exceeds $1.07 billion; or (iii) we issue more than $1.0 billion of non-convertible debt in any three-year period, we will cease to be an emerging growth company prior to the end of such five-year period. We currently anticipate that we will lose our “emerging growth company” status as of the end of the fiscal year ending January 31, 2021.</w:t>
      </w:r>
    </w:p>
    <w:p>
      <w:pPr>
        <w:spacing w:after="0" w:line="192" w:lineRule="exact"/>
        <w:rPr>
          <w:sz w:val="20"/>
          <w:szCs w:val="20"/>
          <w:color w:val="auto"/>
        </w:rPr>
      </w:pPr>
    </w:p>
    <w:p>
      <w:pPr>
        <w:ind w:left="300" w:right="280"/>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We or selling securityholders may offer shares of our Class A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at the time of any offering. We may also offer Class A common stock, preferred stock and/or debt securities upon the exercise of warrants.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83" w:lineRule="exact"/>
        <w:rPr>
          <w:sz w:val="20"/>
          <w:szCs w:val="20"/>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maturity date, if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53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 issue discount, if 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conversion, exercise, exchange or sinking fund terms, if 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ranking;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restrictive covenants, if any;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or other rights, if any;</w:t>
      </w:r>
    </w:p>
    <w:p>
      <w:pPr>
        <w:spacing w:after="0" w:line="130" w:lineRule="exact"/>
        <w:rPr>
          <w:rFonts w:ascii="Arial" w:cs="Arial" w:eastAsia="Arial" w:hAnsi="Arial"/>
          <w:sz w:val="18"/>
          <w:szCs w:val="18"/>
          <w:color w:val="auto"/>
        </w:rPr>
      </w:pPr>
    </w:p>
    <w:p>
      <w:pPr>
        <w:ind w:left="1240" w:right="340" w:hanging="415"/>
        <w:spacing w:after="0" w:line="308"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important U.S. federal income tax considerations.</w:t>
      </w:r>
    </w:p>
    <w:p>
      <w:pPr>
        <w:spacing w:after="0" w:line="225"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70"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We or selling securityholders may sell the securities directly to investors or to or through underwriters, dealers or agents. We, and our underwriters or agents, reserve the right to accept or reject all or part of any proposed purchase of securities. If we or selling securityholders do offer securities to or through agents or underwriters, we will include in the applicable prospectus supplement:</w:t>
      </w:r>
    </w:p>
    <w:p>
      <w:pPr>
        <w:spacing w:after="0" w:line="89"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details regarding the option to purchase additional shares or other options, if any;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net proceeds to us.</w:t>
      </w:r>
    </w:p>
    <w:p>
      <w:pPr>
        <w:spacing w:after="0" w:line="329" w:lineRule="exact"/>
        <w:rPr>
          <w:sz w:val="20"/>
          <w:szCs w:val="20"/>
          <w:color w:val="auto"/>
        </w:rPr>
      </w:pPr>
    </w:p>
    <w:p>
      <w:pPr>
        <w:ind w:left="300" w:right="1400"/>
        <w:spacing w:after="0" w:line="378" w:lineRule="auto"/>
        <w:rPr>
          <w:sz w:val="20"/>
          <w:szCs w:val="20"/>
          <w:color w:val="auto"/>
        </w:rPr>
      </w:pPr>
      <w:r>
        <w:rPr>
          <w:rFonts w:ascii="Arial" w:cs="Arial" w:eastAsia="Arial" w:hAnsi="Arial"/>
          <w:sz w:val="18"/>
          <w:szCs w:val="18"/>
          <w:b w:val="1"/>
          <w:bCs w:val="1"/>
          <w:color w:val="auto"/>
        </w:rPr>
        <w:t xml:space="preserve">This prospectus may not be used to consummate a sale of securities unless it is accompanied by a prospectus supplement. </w:t>
      </w:r>
      <w:r>
        <w:rPr>
          <w:rFonts w:ascii="Arial" w:cs="Arial" w:eastAsia="Arial" w:hAnsi="Arial"/>
          <w:sz w:val="18"/>
          <w:szCs w:val="18"/>
          <w:b w:val="1"/>
          <w:bCs w:val="1"/>
          <w:i w:val="1"/>
          <w:iCs w:val="1"/>
          <w:color w:val="auto"/>
        </w:rPr>
        <w:t>Class A Common Stock</w:t>
      </w:r>
    </w:p>
    <w:p>
      <w:pPr>
        <w:ind w:left="300"/>
        <w:spacing w:after="0" w:line="288" w:lineRule="auto"/>
        <w:rPr>
          <w:sz w:val="20"/>
          <w:szCs w:val="20"/>
          <w:color w:val="auto"/>
        </w:rPr>
      </w:pPr>
      <w:r>
        <w:rPr>
          <w:rFonts w:ascii="Arial" w:cs="Arial" w:eastAsia="Arial" w:hAnsi="Arial"/>
          <w:sz w:val="16"/>
          <w:szCs w:val="16"/>
          <w:color w:val="auto"/>
        </w:rPr>
        <w:t>We may issue shares of our Class A common stock from time to time. The holders of Class A common stock are entitled to one vote per share on all matters to be voted on by the stockholders. Subject to the preferences that may be applicable to any outstanding shares of preferred stock, the holders of Class A common stock and Class B common stock are entitled to receive ratably any dividends our board of directors declares out of funds legally available for the payment of dividends. If we are liquidated, dissolved or wound up, the holders of Class A common stock and Class B common stock are entitled to share pro rata all assets remaining after payment of liabilities and liquidation preferences of any outstanding shares of preferred stock. Holders of Class A common stock have no preemptive rights or rights to convert their Class A common stock into any other securities. There are no redemption or sinking fund provisions applicable to the Class A common stock. In this prospectus, we have summarized certain general features of the Class A common stock and Class B common stock under the heading “Description of Capital Stock— Class A and Class B Common Stock.” We urge you, however, to read the applicable prospectus supplement (and any related free writing prospectus that we may authorize to be provided to you) related to any Class A common stock being offered.</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We may issue shares of our preferred stock from time to time, in one or more series. Our board of directors will determine the designations, voting powers, preferences and rights of the preferred stock, as well as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qualifications, limitations or restrictions thereof, including dividend rights, conversion rights, preemptive rights, terms of redemption or repurchase, liquidation preferences, sinking fund terms and the number of shares constituting any series or the designation of any series, or the designation of such series, any or all of which may be greater than the rights of our Class A common stock or Class B common stock. Convertible preferred stock will be convertible into our Class A common stock or exchangeable for other securities. Conversion may be mandatory or at your option and would be at prescribed conversion rates.</w:t>
      </w:r>
    </w:p>
    <w:p>
      <w:pPr>
        <w:spacing w:after="0" w:line="188" w:lineRule="exact"/>
        <w:rPr>
          <w:sz w:val="20"/>
          <w:szCs w:val="20"/>
          <w:color w:val="auto"/>
        </w:rPr>
      </w:pPr>
    </w:p>
    <w:p>
      <w:pPr>
        <w:ind w:left="300" w:right="20"/>
        <w:spacing w:after="0" w:line="271" w:lineRule="auto"/>
        <w:rPr>
          <w:sz w:val="20"/>
          <w:szCs w:val="20"/>
          <w:color w:val="auto"/>
        </w:rPr>
      </w:pPr>
      <w:r>
        <w:rPr>
          <w:rFonts w:ascii="Arial" w:cs="Arial" w:eastAsia="Arial" w:hAnsi="Arial"/>
          <w:sz w:val="17"/>
          <w:szCs w:val="17"/>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17" w:lineRule="exact"/>
        <w:rPr>
          <w:sz w:val="20"/>
          <w:szCs w:val="20"/>
          <w:color w:val="auto"/>
        </w:rPr>
      </w:pPr>
    </w:p>
    <w:p>
      <w:pPr>
        <w:ind w:left="300" w:right="40"/>
        <w:spacing w:after="0" w:line="255" w:lineRule="auto"/>
        <w:rPr>
          <w:sz w:val="20"/>
          <w:szCs w:val="20"/>
          <w:color w:val="auto"/>
        </w:rPr>
      </w:pPr>
      <w:r>
        <w:rPr>
          <w:rFonts w:ascii="Arial" w:cs="Arial" w:eastAsia="Arial" w:hAnsi="Arial"/>
          <w:sz w:val="18"/>
          <w:szCs w:val="18"/>
          <w:color w:val="auto"/>
        </w:rPr>
        <w:t>From time to time, we may issue debt securities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rates.</w:t>
      </w:r>
    </w:p>
    <w:p>
      <w:pPr>
        <w:spacing w:after="0" w:line="192" w:lineRule="exact"/>
        <w:rPr>
          <w:sz w:val="20"/>
          <w:szCs w:val="20"/>
          <w:color w:val="auto"/>
        </w:rPr>
      </w:pPr>
    </w:p>
    <w:p>
      <w:pPr>
        <w:ind w:left="300"/>
        <w:spacing w:after="0" w:line="271" w:lineRule="auto"/>
        <w:rPr>
          <w:sz w:val="20"/>
          <w:szCs w:val="20"/>
          <w:color w:val="auto"/>
        </w:rPr>
      </w:pPr>
      <w:r>
        <w:rPr>
          <w:rFonts w:ascii="Arial" w:cs="Arial" w:eastAsia="Arial" w:hAnsi="Arial"/>
          <w:sz w:val="17"/>
          <w:szCs w:val="17"/>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any series of debt securities being offered, as well as the complete indenture(s) and any supplemental indentures that contain the terms of the debt securities. We have filed a form of indenture as an exhibit to the registration statement of which this prospectus is a part. We will file as exhibits to the registration statement of which this prospectus is a part, or will incorporate by reference from reports that we file with the SEC, supplemental indentures and forms of debt securities containing the terms of the debt securities being offered.</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300" w:right="120"/>
        <w:spacing w:after="0" w:line="291" w:lineRule="auto"/>
        <w:rPr>
          <w:sz w:val="20"/>
          <w:szCs w:val="20"/>
          <w:color w:val="auto"/>
        </w:rPr>
      </w:pPr>
      <w:r>
        <w:rPr>
          <w:rFonts w:ascii="Arial" w:cs="Arial" w:eastAsia="Arial" w:hAnsi="Arial"/>
          <w:sz w:val="16"/>
          <w:szCs w:val="16"/>
          <w:color w:val="auto"/>
        </w:rPr>
        <w:t>We may issue warrants for the purchase of Class A common stock, preferred stock and/or debt securities, in one or more series, from time to time. We may issue warrants independently or in combination with Class A common stock, preferred stock and/or debt securities.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any particular series of warrants being offered, as well as the complete warrant agreements and warrant certificates that contain the terms of the warrants. We have filed forms of the warrant agreements and forms of warrant certificates containing the terms of the warrants that we may offer as exhibits to the registration statement of which this prospectus is a part. We will file as exhibits to the registration statement of which this</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84"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Any warrants issued under this prospectus may be evidenced by warrant certificates. Warrants may be issued under a warrant agreement that we enter into with a warrant agent. We will indicate the name and address of the warrant agent, if applicable, in the prospectus supplement relating to the particular series of warrants being offered.</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Selling securityholders are persons or entities that, directly or indirectly, have acquired or will from time to time acquire from us, our securities.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Information about selling securityholders, if any, will be set forth in a prospectus supplement. See “Selling Securityholders” in this prospectus.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Except as described in any applicable prospectus supplement or in any free writing prospectuses we have authorized for use in connection with a specific offering, we intend to use the net proceeds for working capital and general corporate purposes, including sales and marketing activities, research and development activities, general and administrative matters, repayment of debt, other business opportunities and capital expenditures. We may also use a portion of the net proceeds to acquire or invest in businesses, products and technologies that are complementary to our own, although we have no current commitments or agreements with respect to any acquisitions or investments. See “Use of Proceeds” in this prospectus. Unless the applicable prospectus supplement provides otherwise, we will not receive any of the proceeds from the sale of our securities by selling securityholders.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Nasdaq Global Select Market Listing</w:t>
      </w:r>
    </w:p>
    <w:p>
      <w:pPr>
        <w:spacing w:after="0" w:line="121" w:lineRule="exact"/>
        <w:rPr>
          <w:sz w:val="20"/>
          <w:szCs w:val="20"/>
          <w:color w:val="auto"/>
        </w:rPr>
      </w:pPr>
    </w:p>
    <w:p>
      <w:pPr>
        <w:jc w:val="both"/>
        <w:ind w:left="300" w:right="440"/>
        <w:spacing w:after="0" w:line="263" w:lineRule="auto"/>
        <w:rPr>
          <w:sz w:val="20"/>
          <w:szCs w:val="20"/>
          <w:color w:val="auto"/>
        </w:rPr>
      </w:pPr>
      <w:r>
        <w:rPr>
          <w:rFonts w:ascii="Arial" w:cs="Arial" w:eastAsia="Arial" w:hAnsi="Arial"/>
          <w:sz w:val="18"/>
          <w:szCs w:val="18"/>
          <w:color w:val="auto"/>
        </w:rPr>
        <w:t>Our Class A common stock is listed on the Nasdaq Global Select Market under the symbol “ZM.” The applicable prospectus supplement will contain information, where applicable, as to other listings, if any, on the Nasdaq Global Select Market or any other securities market or other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titled “Risk Factors” contained in our most recent Annual Report on Form 10-K, as may be updated by our subsequent Quarterly Reports on Form 10-Q and other filings we make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Additional Information” and “Incorporation of Certain Information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This prospectus, and the documents incorporated in this prospectus by reference, contain forward-looking statements.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titled “Business,” “Risk Factors” and “Management’s Discussion and Analysis of Financial Condition and Results of Operations” incorporated by reference from our most recent Annual Report on Form 10-K and our most recent Quarterly Report on Form 10-Q, as well as any amendments thereto, filed with the SEC.</w:t>
      </w:r>
    </w:p>
    <w:p>
      <w:pPr>
        <w:spacing w:after="0" w:line="16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 “continue,” “could,” “design,” “due,” “estimate,” “expect,” “goal,” “intend,” “may,” “objective,” “plan,” “predict,” “project,” “positioned,” “potential,” “seek,” “should,” “target,” “will,” “would” or the negative or plural of those terms, and similar expressions intended to identify statements about the future, although not all forward-looking statements contain these words. These forward-looking statements involve known and unknown risks, uncertainties and other factors that may cause our actual results, levels of activity, performance or achievements to be materially different from the information expressed or implied by these statements.</w:t>
      </w:r>
    </w:p>
    <w:p>
      <w:pPr>
        <w:spacing w:after="0" w:line="192"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w:t>
      </w:r>
    </w:p>
    <w:p>
      <w:pPr>
        <w:spacing w:after="0" w:line="17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Forward-looking statements in this prospectus or incorporated herein by reference include, but are not limited to, statements about our future financial performance, including our revenue, cost of revenue, gross profit, margins, and operating expenses; market trends; trends in our key business metrics; the sufficiency of our cash and cash equivalents, investments, and cash provided by sales of our products and services to meet our efforts to enhance the security and privacy of our platform; our efforts to enhance the security and privacy of our platform; the potential impacts of the COVID-19 pandemic and related public health measures on our business, the business of our customers, suppliers and channel partners, and the economy; our liquidity needs; our ability to become the ubiquitous platform for communications; our ability to attract new customers and retain existing customers; our ability to successfully expand in our existing markets and into new markets; our ability to effectively manage our growth and future expenses; and the impact of recent accounting pronouncements on our unaudited condensed consolidated financial statements.</w:t>
      </w:r>
    </w:p>
    <w:p>
      <w:pPr>
        <w:spacing w:after="0" w:line="16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You should refer to the “Risk Factors” section of this prospectus, applicable prospectus supplements, any related free writing prospectus that we may authorize to be provided to you, our most recent Annual Report on Form 10-K, and our most recent Quarterly Report on Form 10-Q, as updated by our subsequent filings,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Except as described in any applicable prospectus supplement or in any free writing prospectuses we have authorized for use in connection with a specific offering, we intend to use the net proceeds from the sale of the securities offered hereby, if any, for working capital and general corporate purposes, including sales and marketing activities, research and development activities, general and administrative matters, repayment of debt, other business opportunities and capital expenditures. We may also use a portion of the net proceeds to acquire or invest in businesses, products and technologies that are complementary to our own, although we have no current commitments or agreements with respect to any acquisitions or investments. We will set forth in the applicable prospectus supplement or free writing prospectus our intended use for the net proceeds received from the sale of any securities sold pursuant to the applicable prospectus supplement or free writing prospectus.</w:t>
      </w:r>
    </w:p>
    <w:p>
      <w:pPr>
        <w:spacing w:after="0" w:line="17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Unless the applicable prospectus supplement provides otherwise, we will not receive any of the proceeds from the sale of our securities by selling securityholders.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17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authorized capital stock consists of the following shares, all with a par value of $0.001 per share, of which:</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2,000,000,000 shares are designated as Class A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300,000,000 shares are designated as Class B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and Class B Common Stock</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Class A common stock or amend our certificate of incorporation to alter the powers, preferences or special rights of the common stock as a whole in a way that would adversely affect the holders of our Class A common stock.</w:t>
      </w:r>
    </w:p>
    <w:p>
      <w:pPr>
        <w:spacing w:after="0" w:line="16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7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Our amended and restated certificate of incorporation provides that the number of authorized shares of preferred stock, Class A common stock or Class B common stock may be increased or decreased (but not below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stock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does not provide for cumulative voting for the election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In addition, each share of our Class B common stock will convert automatically into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The Class A common stock and Class B common stock have no preemptive rights pursuant to the terms of our amended and restated certificate of incorporation and our amended and restated bylaws. There are no redemption or sinking fund provisions applicable to the Class A common stock and Class B common stock. All outstanding shares of our Class A common stock are fully paid and non-assessable.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will be the sole and exclusive forum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types of actions or proceedings under Delaware statutory or common law: (i) any derivative action or proceeding brought on our behalf;</w:t>
      </w:r>
    </w:p>
    <w:p>
      <w:pPr>
        <w:spacing w:after="0" w:line="46" w:lineRule="exact"/>
        <w:rPr>
          <w:sz w:val="20"/>
          <w:szCs w:val="20"/>
          <w:color w:val="auto"/>
        </w:rPr>
      </w:pPr>
    </w:p>
    <w:p>
      <w:pPr>
        <w:ind w:left="120" w:hanging="4"/>
        <w:spacing w:after="0" w:line="286" w:lineRule="auto"/>
        <w:tabs>
          <w:tab w:leader="none" w:pos="385"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transfer agent and registrar for our Class A common stock and Class B common stock is Computershare Trust Company, N.A. The transfer agent and registrar’s address is 250 Royall Street, Canton, Massachusetts 02021.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Class A common stock is listed on The Nasdaq Global Select Market under the symbol “ZM.”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5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limit upon the aggregate principal amount that may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form of the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rank as senior debt, senior subordinated debt, subordinated debt or any combination thereof, and the terms of any subordination;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92"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75" w:lineRule="exact"/>
        <w:rPr>
          <w:rFonts w:ascii="Arial" w:cs="Arial" w:eastAsia="Arial" w:hAnsi="Arial"/>
          <w:sz w:val="18"/>
          <w:szCs w:val="18"/>
          <w:color w:val="auto"/>
        </w:rPr>
      </w:pPr>
    </w:p>
    <w:p>
      <w:pPr>
        <w:ind w:left="1080" w:right="4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9"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6"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75" w:lineRule="exact"/>
        <w:rPr>
          <w:rFonts w:ascii="Arial" w:cs="Arial" w:eastAsia="Arial" w:hAnsi="Arial"/>
          <w:sz w:val="18"/>
          <w:szCs w:val="18"/>
          <w:color w:val="auto"/>
        </w:rPr>
      </w:pPr>
    </w:p>
    <w:p>
      <w:pPr>
        <w:ind w:left="1080" w:right="10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changes in the covenants applicable to the particular debt securities being issued, including, among others, the consolidation, merger or sale covenant;</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satisfaction and discharge of the indenture;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changes in the provisions relating to the modification of the indenture both with and without the consent of holders of debt securities issued under the indenture;</w:t>
      </w:r>
    </w:p>
    <w:p>
      <w:pPr>
        <w:spacing w:after="0" w:line="75" w:lineRule="exact"/>
        <w:rPr>
          <w:rFonts w:ascii="Arial" w:cs="Arial" w:eastAsia="Arial" w:hAnsi="Arial"/>
          <w:sz w:val="18"/>
          <w:szCs w:val="18"/>
          <w:color w:val="auto"/>
        </w:rPr>
      </w:pPr>
    </w:p>
    <w:p>
      <w:pPr>
        <w:ind w:left="5540" w:right="140" w:hanging="4884"/>
        <w:spacing w:after="0" w:line="449" w:lineRule="auto"/>
        <w:tabs>
          <w:tab w:leader="none" w:pos="109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of payment of debt securities if other than U.S. dollars and the manner of determining the equivalent amount in U.S. dollars; 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debt securities at our or the holders’ option and the terms and conditions upon which the election may be made;</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debt securities of the series; and</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76" w:lineRule="exact"/>
        <w:rPr>
          <w:sz w:val="20"/>
          <w:szCs w:val="20"/>
          <w:color w:val="auto"/>
        </w:rPr>
      </w:pPr>
    </w:p>
    <w:p>
      <w:pPr>
        <w:jc w:val="both"/>
        <w:ind w:left="1080" w:right="80" w:hanging="424"/>
        <w:spacing w:after="0" w:line="31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4" w:lineRule="exact"/>
        <w:rPr>
          <w:rFonts w:ascii="Arial" w:cs="Arial" w:eastAsia="Arial" w:hAnsi="Arial"/>
          <w:sz w:val="16"/>
          <w:szCs w:val="16"/>
          <w:color w:val="auto"/>
        </w:rPr>
      </w:pPr>
    </w:p>
    <w:p>
      <w:pPr>
        <w:ind w:left="1080" w:right="80" w:hanging="424"/>
        <w:spacing w:after="0" w:line="301"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62" w:lineRule="exact"/>
        <w:rPr>
          <w:rFonts w:ascii="Arial" w:cs="Arial" w:eastAsia="Arial" w:hAnsi="Arial"/>
          <w:sz w:val="16"/>
          <w:szCs w:val="16"/>
          <w:color w:val="auto"/>
        </w:rPr>
      </w:pPr>
    </w:p>
    <w:p>
      <w:pPr>
        <w:ind w:left="1080" w:hanging="424"/>
        <w:spacing w:after="0" w:line="279"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1"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2"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 or to appoint a receiver or trustee, or to seek other remedies only if:</w:t>
      </w:r>
    </w:p>
    <w:p>
      <w:pPr>
        <w:spacing w:after="0" w:line="7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holders have offered to the trustee indemnity satisfactory to it against the costs, expenses and liabilities to be incurred by the trustee in compliance with the request; and</w:t>
      </w:r>
    </w:p>
    <w:p>
      <w:pPr>
        <w:spacing w:after="0" w:line="75"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the debt securities of any series;</w:t>
      </w:r>
    </w:p>
    <w:p>
      <w:pPr>
        <w:spacing w:after="0" w:line="130" w:lineRule="exact"/>
        <w:rPr>
          <w:rFonts w:ascii="Arial" w:cs="Arial" w:eastAsia="Arial" w:hAnsi="Arial"/>
          <w:sz w:val="18"/>
          <w:szCs w:val="18"/>
          <w:color w:val="auto"/>
        </w:rPr>
      </w:pPr>
    </w:p>
    <w:p>
      <w:pPr>
        <w:ind w:left="5540" w:right="1420" w:hanging="4884"/>
        <w:spacing w:after="0" w:line="449" w:lineRule="auto"/>
        <w:tabs>
          <w:tab w:leader="none" w:pos="109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“Description of Debt Securities—Consolidation, Merger or Sale;” 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92"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142" w:lineRule="exact"/>
        <w:rPr>
          <w:rFonts w:ascii="Arial" w:cs="Arial" w:eastAsia="Arial" w:hAnsi="Arial"/>
          <w:sz w:val="17"/>
          <w:szCs w:val="17"/>
          <w:color w:val="auto"/>
        </w:rPr>
      </w:pPr>
    </w:p>
    <w:p>
      <w:pPr>
        <w:jc w:val="both"/>
        <w:ind w:left="1080" w:right="140" w:hanging="424"/>
        <w:spacing w:after="0" w:line="286"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any indenture by a successor trustee;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23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92"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extending the fixed maturity of any debt securities of any series;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series of any debt securities; or</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supplement, modification or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specified obligations, including obligations to:</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principal of and premium and interest on any debt securities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6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0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7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except to the extent that the Trust Indenture Act of 1939, as amended, is applicable.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7"/>
          <w:szCs w:val="17"/>
          <w:color w:val="auto"/>
        </w:rPr>
      </w:pPr>
    </w:p>
    <w:p>
      <w:pPr>
        <w:ind w:left="1080" w:right="16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agreements and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manner in which the warrant agreements and warrants may be modified;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of holding or exercising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Before exercising their warrants, holders of warrants will not have any of the rights of holders of the securities purchasable upon such exercise, including:</w:t>
      </w:r>
    </w:p>
    <w:p>
      <w:pPr>
        <w:spacing w:after="0" w:line="76" w:lineRule="exact"/>
        <w:rPr>
          <w:sz w:val="20"/>
          <w:szCs w:val="20"/>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warrants to purchase Class A common stock or preferred stock, the right to receive dividends, if any, or, payments upon our liquidation, dissolution or winding up or to exercise voting rights, if 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8"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 by Holders of Warrants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OWNERSHIP OF SECURITIES</w:t>
      </w:r>
    </w:p>
    <w:p>
      <w:pPr>
        <w:spacing w:after="0" w:line="2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Holders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Street Name Holders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Holders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Indirect Holders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If you hold securities through a bank, broker or other financial institution, either in book-entry form or in street name, you should check with your own institution to find out:</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of third-party service providers;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and how you can instruct it to send you securities registered in your own name so you can be a holder, if that is permitted in the future;</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how it would exercise rights under the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84"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its nominee or a successor depositary, unless special termination situations arise. We describe those situations below under the section 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7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Considerations For Global Securities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securities to some insurance companies and to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75"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1"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There may be more than one financial intermediary in the chain of ownership for an investor. We do not monitor and are not responsible for the actions of any of those intermediaries.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Situations When a Global Security Will Be Terminated</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we provide otherwise in the applicable prospectus supplement, the global security will terminate when the following special situations occur:</w:t>
      </w:r>
    </w:p>
    <w:p>
      <w:pPr>
        <w:spacing w:after="0" w:line="154" w:lineRule="exact"/>
        <w:rPr>
          <w:sz w:val="20"/>
          <w:szCs w:val="20"/>
          <w:color w:val="auto"/>
        </w:rPr>
      </w:pPr>
    </w:p>
    <w:p>
      <w:pPr>
        <w:ind w:left="1080" w:right="2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notify any applicable trustee that we wish to terminate that global security;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an event of default has occurred with regard to securities represented by that global security and has not been cured or waived.</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Information about selling securityholders, if applicable, will be set forth in a prospectus supplement, in a post-effective amendment to this registration statement, or in filings we make with the SEC under the Exchange Act that are incorporated by reference.</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We or selling securityholders may sell the securities from time to time pursuant to underwritten public offerings, direct sales to the public, “at the 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77"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9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or names of any underwriters, dealers, agents or other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or names of the selling securityholders,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purchase price of the securities or other consideration therefor, and the proceeds, if any, we will receive from the sale;</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options to purchase additional shares or other options under which underwriters, dealers, agents or other purchasers may purchase additional securities from us or any selling securityholders;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70"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65" w:lineRule="exact"/>
        <w:rPr>
          <w:sz w:val="20"/>
          <w:szCs w:val="20"/>
          <w:color w:val="auto"/>
        </w:rPr>
      </w:pPr>
    </w:p>
    <w:p>
      <w:pPr>
        <w:jc w:val="both"/>
        <w:ind w:left="120" w:right="760"/>
        <w:spacing w:after="0" w:line="311" w:lineRule="auto"/>
        <w:rPr>
          <w:sz w:val="20"/>
          <w:szCs w:val="20"/>
          <w:color w:val="auto"/>
        </w:rPr>
      </w:pPr>
      <w:r>
        <w:rPr>
          <w:rFonts w:ascii="Arial" w:cs="Arial" w:eastAsia="Arial" w:hAnsi="Arial"/>
          <w:sz w:val="16"/>
          <w:szCs w:val="16"/>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4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8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Any underwriters or dealers or agents that are qualified market makers on the Nasdaq Global Select Market may engage in passive market making transactions in the Class A common stock on the Nasdaq Global Select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Unless otherwise indicated in the applicable prospectus supplement, the validity of the securities offered by this prospectus, and any supplement thereto, will be passed upon for us by Cooley LLP.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consolidated financial statements of Zoom Video Communications, Inc. as of January 31, 2019 and 2020, and for each of the years in the three-year period ended January 31, 2020, have been incorporated by reference in this prospectus by reference to our 2020 Annual Report in reliance upon the report of KPMG LLP, independent registered public accounting firm, incorporated by reference herein and upon the authority of said firm as experts in accounting and auditing.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report on the consolidated financial statements refers to the change in accounting for leases as of February 1, 2019.</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prospectus and any prospectus supplement are part of the registration statement on Form S-3 we filed with the SEC under the Securities Act and do not contain all the information set forth or incorporated by reference in the registration statement. Whenever a reference is made in this prospectus or any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or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section of our website, which is located</w:t>
      </w:r>
    </w:p>
    <w:p>
      <w:pPr>
        <w:spacing w:after="0" w:line="6" w:lineRule="exact"/>
        <w:rPr>
          <w:sz w:val="20"/>
          <w:szCs w:val="20"/>
          <w:color w:val="auto"/>
        </w:rPr>
      </w:pPr>
    </w:p>
    <w:p>
      <w:pPr>
        <w:ind w:left="120" w:right="80"/>
        <w:spacing w:after="0" w:line="277" w:lineRule="auto"/>
        <w:rPr>
          <w:sz w:val="20"/>
          <w:szCs w:val="20"/>
          <w:color w:val="auto"/>
        </w:rPr>
      </w:pPr>
      <w:r>
        <w:rPr>
          <w:rFonts w:ascii="Arial" w:cs="Arial" w:eastAsia="Arial" w:hAnsi="Arial"/>
          <w:sz w:val="17"/>
          <w:szCs w:val="17"/>
          <w:color w:val="auto"/>
        </w:rPr>
        <w:t>at investors.zoom.us. These filings will be available as soon as reasonably practicable after we electronically file such material with, or furnish it to, the SEC. Our website address is https://zoom.com. Information contained on or accessible through our website is not a part of this prospectus and is not incorporated by reference herein, and the inclusion of our website address in this prospectus is an inactive textual reference only.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Securities and Exchange Commission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(File No. 001-38865)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83"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w:t>
      </w:r>
      <w:hyperlink r:id="rId62">
        <w:r>
          <w:rPr>
            <w:rFonts w:ascii="Arial" w:cs="Arial" w:eastAsia="Arial" w:hAnsi="Arial"/>
            <w:sz w:val="18"/>
            <w:szCs w:val="18"/>
            <w:u w:val="single" w:color="auto"/>
            <w:color w:val="0000EE"/>
          </w:rPr>
          <w:t>Annual Report on Form 10-K for the year ended January 31, 2020</w:t>
        </w:r>
      </w:hyperlink>
      <w:r>
        <w:rPr>
          <w:rFonts w:ascii="Arial" w:cs="Arial" w:eastAsia="Arial" w:hAnsi="Arial"/>
          <w:sz w:val="18"/>
          <w:szCs w:val="18"/>
          <w:color w:val="auto"/>
        </w:rPr>
        <w:t>, filed with the SEC on March 20, 2020;</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w:t>
      </w:r>
      <w:hyperlink r:id="rId63">
        <w:r>
          <w:rPr>
            <w:rFonts w:ascii="Arial" w:cs="Arial" w:eastAsia="Arial" w:hAnsi="Arial"/>
            <w:sz w:val="18"/>
            <w:szCs w:val="18"/>
            <w:u w:val="single" w:color="auto"/>
            <w:color w:val="0000EE"/>
          </w:rPr>
          <w:t>Definitive Proxy Statement on Schedule 14A</w:t>
        </w:r>
      </w:hyperlink>
      <w:r>
        <w:rPr>
          <w:rFonts w:ascii="Arial" w:cs="Arial" w:eastAsia="Arial" w:hAnsi="Arial"/>
          <w:sz w:val="18"/>
          <w:szCs w:val="18"/>
          <w:color w:val="auto"/>
        </w:rPr>
        <w:t>, filed with the SEC on May 7, 2020 (excluding those portions that are not incorporated by reference into our Annual Report on Form 10-K for the fiscal year ended January 31,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w:t>
      </w:r>
      <w:hyperlink r:id="rId64">
        <w:r>
          <w:rPr>
            <w:rFonts w:ascii="Arial" w:cs="Arial" w:eastAsia="Arial" w:hAnsi="Arial"/>
            <w:sz w:val="18"/>
            <w:szCs w:val="18"/>
            <w:u w:val="single" w:color="auto"/>
            <w:color w:val="0000EE"/>
          </w:rPr>
          <w:t>Quarterly Report on Form 10-Q for the quarter ended April 30, 2020</w:t>
        </w:r>
      </w:hyperlink>
      <w:r>
        <w:rPr>
          <w:rFonts w:ascii="Arial" w:cs="Arial" w:eastAsia="Arial" w:hAnsi="Arial"/>
          <w:sz w:val="18"/>
          <w:szCs w:val="18"/>
          <w:color w:val="auto"/>
        </w:rPr>
        <w:t>, filed with the SEC on June 5,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w:t>
      </w:r>
      <w:hyperlink r:id="rId65">
        <w:r>
          <w:rPr>
            <w:rFonts w:ascii="Arial" w:cs="Arial" w:eastAsia="Arial" w:hAnsi="Arial"/>
            <w:sz w:val="18"/>
            <w:szCs w:val="18"/>
            <w:u w:val="single" w:color="auto"/>
            <w:color w:val="0000EE"/>
          </w:rPr>
          <w:t>Quarterly Report on Form 10-Q for the quarter ended July 31, 2020</w:t>
        </w:r>
      </w:hyperlink>
      <w:r>
        <w:rPr>
          <w:rFonts w:ascii="Arial" w:cs="Arial" w:eastAsia="Arial" w:hAnsi="Arial"/>
          <w:sz w:val="18"/>
          <w:szCs w:val="18"/>
          <w:color w:val="auto"/>
        </w:rPr>
        <w:t>, filed with the SEC on September 3,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our </w:t>
      </w:r>
      <w:hyperlink r:id="rId66">
        <w:r>
          <w:rPr>
            <w:rFonts w:ascii="Arial" w:cs="Arial" w:eastAsia="Arial" w:hAnsi="Arial"/>
            <w:sz w:val="18"/>
            <w:szCs w:val="18"/>
            <w:u w:val="single" w:color="auto"/>
            <w:color w:val="0000EE"/>
          </w:rPr>
          <w:t>Quarterly Report on Form 10-Q for the quarter ended October 31, 2020</w:t>
        </w:r>
      </w:hyperlink>
      <w:r>
        <w:rPr>
          <w:rFonts w:ascii="Arial" w:cs="Arial" w:eastAsia="Arial" w:hAnsi="Arial"/>
          <w:sz w:val="18"/>
          <w:szCs w:val="18"/>
          <w:color w:val="auto"/>
        </w:rPr>
        <w:t>, filed with the SEC on December 4, 2020;</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7"/>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67">
        <w:r>
          <w:rPr>
            <w:rFonts w:ascii="Arial" w:cs="Arial" w:eastAsia="Arial" w:hAnsi="Arial"/>
            <w:sz w:val="18"/>
            <w:szCs w:val="18"/>
            <w:u w:val="single" w:color="auto"/>
            <w:color w:val="0000EE"/>
          </w:rPr>
          <w:t>May 6, 2020</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June 4,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on </w:t>
      </w:r>
      <w:hyperlink r:id="rId69">
        <w:r>
          <w:rPr>
            <w:rFonts w:ascii="Arial" w:cs="Arial" w:eastAsia="Arial" w:hAnsi="Arial"/>
            <w:sz w:val="18"/>
            <w:szCs w:val="18"/>
            <w:u w:val="single" w:color="auto"/>
            <w:color w:val="0000EE"/>
          </w:rPr>
          <w:t>July 24, 2020</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EE"/>
          </w:rPr>
          <w:t>June 24, 2020</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September 1,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2">
        <w:r>
          <w:rPr>
            <w:rFonts w:ascii="Arial" w:cs="Arial" w:eastAsia="Arial" w:hAnsi="Arial"/>
            <w:sz w:val="18"/>
            <w:szCs w:val="18"/>
            <w:u w:val="single" w:color="auto"/>
            <w:color w:val="0000EE"/>
          </w:rPr>
          <w:t>November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73">
        <w:r>
          <w:rPr>
            <w:rFonts w:ascii="Arial" w:cs="Arial" w:eastAsia="Arial" w:hAnsi="Arial"/>
            <w:sz w:val="18"/>
            <w:szCs w:val="18"/>
            <w:u w:val="single" w:color="auto"/>
            <w:color w:val="0000EE"/>
          </w:rPr>
          <w:t>December 18,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080" w:right="3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description of our Class A common stock set forth in our registration statement on </w:t>
      </w:r>
      <w:hyperlink r:id="rId74">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April 8, 2019, including any amendments thereto or reports filed for the purposes of updating this description.</w:t>
      </w:r>
    </w:p>
    <w:p>
      <w:pPr>
        <w:spacing w:after="0" w:line="170" w:lineRule="exact"/>
        <w:rPr>
          <w:rFonts w:ascii="Arial" w:cs="Arial" w:eastAsia="Arial" w:hAnsi="Arial"/>
          <w:sz w:val="18"/>
          <w:szCs w:val="18"/>
          <w:color w:val="0000EE"/>
        </w:rPr>
      </w:pPr>
    </w:p>
    <w:p>
      <w:pPr>
        <w:ind w:left="120" w:right="20"/>
        <w:spacing w:after="0" w:line="308" w:lineRule="auto"/>
        <w:rPr>
          <w:sz w:val="20"/>
          <w:szCs w:val="20"/>
          <w:color w:val="auto"/>
        </w:rPr>
      </w:pPr>
      <w:r>
        <w:rPr>
          <w:rFonts w:ascii="Arial" w:cs="Arial" w:eastAsia="Arial" w:hAnsi="Arial"/>
          <w:sz w:val="17"/>
          <w:szCs w:val="17"/>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46" w:lineRule="exact"/>
        <w:rPr>
          <w:rFonts w:ascii="Arial" w:cs="Arial" w:eastAsia="Arial" w:hAnsi="Arial"/>
          <w:sz w:val="18"/>
          <w:szCs w:val="18"/>
          <w:color w:val="0000EE"/>
        </w:rPr>
      </w:pPr>
    </w:p>
    <w:p>
      <w:pPr>
        <w:ind w:left="120" w:right="200"/>
        <w:spacing w:after="0" w:line="263" w:lineRule="auto"/>
        <w:rPr>
          <w:sz w:val="20"/>
          <w:szCs w:val="20"/>
          <w:color w:val="auto"/>
        </w:rPr>
      </w:pPr>
      <w:r>
        <w:rPr>
          <w:rFonts w:ascii="Arial" w:cs="Arial" w:eastAsia="Arial" w:hAnsi="Arial"/>
          <w:sz w:val="18"/>
          <w:szCs w:val="18"/>
          <w:color w:val="auto"/>
        </w:rPr>
        <w:t>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184" w:lineRule="exact"/>
        <w:rPr>
          <w:rFonts w:ascii="Arial" w:cs="Arial" w:eastAsia="Arial" w:hAnsi="Arial"/>
          <w:sz w:val="18"/>
          <w:szCs w:val="18"/>
          <w:color w:val="0000EE"/>
        </w:rPr>
      </w:pPr>
    </w:p>
    <w:p>
      <w:pPr>
        <w:ind w:left="120"/>
        <w:spacing w:after="0"/>
        <w:rPr>
          <w:sz w:val="20"/>
          <w:szCs w:val="20"/>
          <w:color w:val="auto"/>
        </w:rPr>
      </w:pPr>
      <w:r>
        <w:rPr>
          <w:rFonts w:ascii="Arial" w:cs="Arial" w:eastAsia="Arial" w:hAnsi="Arial"/>
          <w:sz w:val="18"/>
          <w:szCs w:val="18"/>
          <w:color w:val="auto"/>
        </w:rPr>
        <w:t>You may also request a copy of these filings, at no cost, by writing or telephoning us at the following address or telephone number:</w:t>
      </w:r>
    </w:p>
    <w:p>
      <w:pPr>
        <w:spacing w:after="0" w:line="117"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Zoom Video Communications, Inc.</w:t>
      </w:r>
    </w:p>
    <w:p>
      <w:pPr>
        <w:spacing w:after="0" w:line="23"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55 Almaden Boulevard, 6th Floor</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San Jose, California 95113</w:t>
      </w:r>
    </w:p>
    <w:p>
      <w:pPr>
        <w:spacing w:after="0" w:line="9"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(888) 799-9666</w:t>
      </w:r>
    </w:p>
    <w:p>
      <w:pPr>
        <w:spacing w:after="0" w:line="211" w:lineRule="exact"/>
        <w:rPr>
          <w:rFonts w:ascii="Arial" w:cs="Arial" w:eastAsia="Arial" w:hAnsi="Arial"/>
          <w:sz w:val="18"/>
          <w:szCs w:val="18"/>
          <w:color w:val="0000EE"/>
        </w:rPr>
      </w:pPr>
    </w:p>
    <w:p>
      <w:pPr>
        <w:ind w:left="120" w:right="180"/>
        <w:spacing w:after="0" w:line="277" w:lineRule="auto"/>
        <w:rPr>
          <w:sz w:val="20"/>
          <w:szCs w:val="20"/>
          <w:color w:val="auto"/>
        </w:rPr>
      </w:pPr>
      <w:r>
        <w:rPr>
          <w:rFonts w:ascii="Arial" w:cs="Arial" w:eastAsia="Arial" w:hAnsi="Arial"/>
          <w:sz w:val="18"/>
          <w:szCs w:val="18"/>
          <w:color w:val="auto"/>
        </w:rPr>
        <w:t>The information contained in, or that can be accessed through, our website is not part of, and is not incorporated into, this prospectus. The inclusion of our website address in this prospectus is an inactive textual reference only.</w:t>
      </w:r>
    </w:p>
    <w:p>
      <w:pPr>
        <w:spacing w:after="0" w:line="170" w:lineRule="exact"/>
        <w:rPr>
          <w:rFonts w:ascii="Arial" w:cs="Arial" w:eastAsia="Arial" w:hAnsi="Arial"/>
          <w:sz w:val="18"/>
          <w:szCs w:val="18"/>
          <w:color w:val="0000EE"/>
        </w:rPr>
      </w:pPr>
    </w:p>
    <w:p>
      <w:pPr>
        <w:ind w:left="120" w:right="80"/>
        <w:spacing w:after="0" w:line="34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56"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FINRA filing fee.</w:t>
      </w:r>
    </w:p>
    <w:p>
      <w:pPr>
        <w:spacing w:after="0" w:line="14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Amount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Financial Industry Regulatory Authority filing fee</w:t>
            </w:r>
          </w:p>
        </w:tc>
        <w:tc>
          <w:tcPr>
            <w:tcW w:w="1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225,500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The Nasdaq Select Global Market listing fee</w:t>
            </w:r>
          </w:p>
        </w:tc>
        <w:tc>
          <w:tcPr>
            <w:tcW w:w="1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1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Blue sky fees and expenses (including legal fees)</w:t>
            </w:r>
          </w:p>
        </w:tc>
        <w:tc>
          <w:tcPr>
            <w:tcW w:w="1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Printing and miscellaneous fees and expenses</w:t>
            </w:r>
          </w:p>
        </w:tc>
        <w:tc>
          <w:tcPr>
            <w:tcW w:w="1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14" w:lineRule="exact"/>
        <w:rPr>
          <w:sz w:val="20"/>
          <w:szCs w:val="20"/>
          <w:color w:val="auto"/>
        </w:rPr>
      </w:pPr>
    </w:p>
    <w:p>
      <w:pPr>
        <w:ind w:left="540" w:right="40" w:hanging="424"/>
        <w:spacing w:after="0" w:line="25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accordance with Rules 456(b) and 457(r), the Registrant is deferring payment of all applicable registration fees for the securities offered by this prospectus.</w:t>
      </w:r>
    </w:p>
    <w:p>
      <w:pPr>
        <w:spacing w:after="0" w:line="1" w:lineRule="exact"/>
        <w:rPr>
          <w:rFonts w:ascii="Arial" w:cs="Arial" w:eastAsia="Arial" w:hAnsi="Arial"/>
          <w:sz w:val="18"/>
          <w:szCs w:val="18"/>
          <w:color w:val="auto"/>
        </w:rPr>
      </w:pPr>
    </w:p>
    <w:p>
      <w:pPr>
        <w:ind w:left="540" w:right="600" w:hanging="424"/>
        <w:spacing w:after="0" w:line="25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3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permits indemnification of our directors, officers, employees and other agents to the maximum extent permitted by the Delaware General Corporation Law, and our amended and restated bylaws provide that we will indemnify our directors and officers and permit us to indemnify our employees and other agents, in each case to the maximum extent permitted by the Delaware General Corporation Law.</w:t>
      </w:r>
    </w:p>
    <w:p>
      <w:pPr>
        <w:spacing w:after="0" w:line="192"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Video Communications, Inc., provided that such director or officer acted in good faith and in a manner that the director or officer reasonably believed to be in, or not opposed to, the best interest of Zoom Video Communications, Inc.</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underwriting agreement that we may enter into (Exhibit 1.1) may provide for the indemnification by an underwriter of the registrant’s directors and officers and certain controlling persons against specified liabilities, including liabilities under the Securities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Exhibits.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80" w:type="dxa"/>
            <w:vAlign w:val="bottom"/>
            <w:gridSpan w:val="7"/>
            <w:vMerge w:val="restart"/>
          </w:tcPr>
          <w:p>
            <w:pPr>
              <w:jc w:val="center"/>
              <w:ind w:right="1700"/>
              <w:spacing w:after="0"/>
              <w:rPr>
                <w:sz w:val="20"/>
                <w:szCs w:val="20"/>
                <w:color w:val="auto"/>
              </w:rPr>
            </w:pPr>
            <w:r>
              <w:rPr>
                <w:rFonts w:ascii="Arial" w:cs="Arial" w:eastAsia="Arial" w:hAnsi="Arial"/>
                <w:sz w:val="14"/>
                <w:szCs w:val="14"/>
                <w:b w:val="1"/>
                <w:bCs w:val="1"/>
                <w:color w:val="auto"/>
                <w:w w:val="91"/>
              </w:rPr>
              <w:t>Description of</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06"/>
        </w:trPr>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gridSpan w:val="7"/>
            <w:vMerge w:val="continue"/>
          </w:tcPr>
          <w:p>
            <w:pPr>
              <w:spacing w:after="0"/>
              <w:rPr>
                <w:sz w:val="9"/>
                <w:szCs w:val="9"/>
                <w:color w:val="auto"/>
              </w:rPr>
            </w:pPr>
          </w:p>
        </w:tc>
        <w:tc>
          <w:tcPr>
            <w:tcW w:w="5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9"/>
                <w:szCs w:val="9"/>
                <w:color w:val="auto"/>
              </w:rPr>
            </w:pPr>
          </w:p>
        </w:tc>
        <w:tc>
          <w:tcPr>
            <w:tcW w:w="12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9"/>
                <w:szCs w:val="9"/>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9"/>
                <w:szCs w:val="9"/>
                <w:color w:val="auto"/>
              </w:rPr>
            </w:pPr>
          </w:p>
        </w:tc>
        <w:tc>
          <w:tcPr>
            <w:tcW w:w="15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Filing Date</w:t>
            </w: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6"/>
          </w:tcPr>
          <w:p>
            <w:pPr>
              <w:jc w:val="center"/>
              <w:ind w:right="1600"/>
              <w:spacing w:after="0"/>
              <w:rPr>
                <w:sz w:val="20"/>
                <w:szCs w:val="20"/>
                <w:color w:val="auto"/>
              </w:rPr>
            </w:pPr>
            <w:r>
              <w:rPr>
                <w:rFonts w:ascii="Arial" w:cs="Arial" w:eastAsia="Arial" w:hAnsi="Arial"/>
                <w:sz w:val="14"/>
                <w:szCs w:val="14"/>
                <w:b w:val="1"/>
                <w:bCs w:val="1"/>
                <w:color w:val="auto"/>
                <w:w w:val="90"/>
              </w:rPr>
              <w:t>Document</w:t>
            </w:r>
          </w:p>
        </w:tc>
        <w:tc>
          <w:tcPr>
            <w:tcW w:w="10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1"/>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Form of Underwriting Agreement.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840" w:type="dxa"/>
            <w:vAlign w:val="bottom"/>
            <w:tcBorders>
              <w:bottom w:val="single" w:sz="8" w:color="0000EE"/>
            </w:tcBorders>
            <w:gridSpan w:val="8"/>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Amended and Restated Certificate of Incorporation of Zoom Video</w:t>
              </w:r>
            </w:hyperlink>
          </w:p>
        </w:tc>
        <w:tc>
          <w:tcPr>
            <w:tcW w:w="440" w:type="dxa"/>
            <w:vAlign w:val="bottom"/>
            <w:gridSpan w:val="3"/>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8-K</w:t>
            </w:r>
          </w:p>
        </w:tc>
        <w:tc>
          <w:tcPr>
            <w:tcW w:w="1220" w:type="dxa"/>
            <w:vAlign w:val="bottom"/>
          </w:tcPr>
          <w:p>
            <w:pPr>
              <w:ind w:left="20"/>
              <w:spacing w:after="0"/>
              <w:rPr>
                <w:sz w:val="20"/>
                <w:szCs w:val="20"/>
                <w:color w:val="auto"/>
              </w:rPr>
            </w:pPr>
            <w:r>
              <w:rPr>
                <w:rFonts w:ascii="Arial" w:cs="Arial" w:eastAsia="Arial" w:hAnsi="Arial"/>
                <w:sz w:val="18"/>
                <w:szCs w:val="18"/>
                <w:color w:val="auto"/>
              </w:rPr>
              <w:t>001-38865</w:t>
            </w:r>
          </w:p>
        </w:tc>
        <w:tc>
          <w:tcPr>
            <w:tcW w:w="740" w:type="dxa"/>
            <w:vAlign w:val="bottom"/>
            <w:gridSpan w:val="2"/>
          </w:tcPr>
          <w:p>
            <w:pPr>
              <w:jc w:val="right"/>
              <w:ind w:right="348"/>
              <w:spacing w:after="0"/>
              <w:rPr>
                <w:sz w:val="20"/>
                <w:szCs w:val="20"/>
                <w:color w:val="auto"/>
              </w:rPr>
            </w:pPr>
            <w:r>
              <w:rPr>
                <w:rFonts w:ascii="Arial" w:cs="Arial" w:eastAsia="Arial" w:hAnsi="Arial"/>
                <w:sz w:val="18"/>
                <w:szCs w:val="18"/>
                <w:color w:val="auto"/>
              </w:rPr>
              <w:t>3.1</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April 23, 2019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Communications, Inc.</w:t>
              </w:r>
            </w:hyperlink>
          </w:p>
        </w:tc>
        <w:tc>
          <w:tcPr>
            <w:tcW w:w="368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u w:val="single" w:color="auto"/>
                <w:color w:val="0000EE"/>
                <w:w w:val="95"/>
              </w:rPr>
            </w:pPr>
            <w:hyperlink r:id="rId78">
              <w:r>
                <w:rPr>
                  <w:rFonts w:ascii="Arial" w:cs="Arial" w:eastAsia="Arial" w:hAnsi="Arial"/>
                  <w:sz w:val="18"/>
                  <w:szCs w:val="18"/>
                  <w:u w:val="single" w:color="auto"/>
                  <w:color w:val="0000EE"/>
                  <w:w w:val="95"/>
                </w:rPr>
                <w:t>Amended and Restated Bylaws of Zoom Video Communications, Inc.</w:t>
              </w:r>
            </w:hyperlink>
          </w:p>
        </w:tc>
        <w:tc>
          <w:tcPr>
            <w:tcW w:w="640" w:type="dxa"/>
            <w:vAlign w:val="bottom"/>
            <w:gridSpan w:val="2"/>
          </w:tcPr>
          <w:p>
            <w:pPr>
              <w:spacing w:after="0"/>
              <w:rPr>
                <w:sz w:val="20"/>
                <w:szCs w:val="20"/>
                <w:color w:val="auto"/>
              </w:rPr>
            </w:pPr>
            <w:r>
              <w:rPr>
                <w:rFonts w:ascii="Arial" w:cs="Arial" w:eastAsia="Arial" w:hAnsi="Arial"/>
                <w:sz w:val="18"/>
                <w:szCs w:val="18"/>
                <w:color w:val="auto"/>
              </w:rPr>
              <w:t>S-1/A</w:t>
            </w:r>
          </w:p>
        </w:tc>
        <w:tc>
          <w:tcPr>
            <w:tcW w:w="1220" w:type="dxa"/>
            <w:vAlign w:val="bottom"/>
          </w:tcPr>
          <w:p>
            <w:pPr>
              <w:ind w:left="20"/>
              <w:spacing w:after="0"/>
              <w:rPr>
                <w:sz w:val="20"/>
                <w:szCs w:val="20"/>
                <w:color w:val="auto"/>
              </w:rPr>
            </w:pPr>
            <w:r>
              <w:rPr>
                <w:rFonts w:ascii="Arial" w:cs="Arial" w:eastAsia="Arial" w:hAnsi="Arial"/>
                <w:sz w:val="18"/>
                <w:szCs w:val="18"/>
                <w:color w:val="auto"/>
              </w:rPr>
              <w:t>333-230444</w:t>
            </w:r>
          </w:p>
        </w:tc>
        <w:tc>
          <w:tcPr>
            <w:tcW w:w="740" w:type="dxa"/>
            <w:vAlign w:val="bottom"/>
            <w:gridSpan w:val="2"/>
          </w:tcPr>
          <w:p>
            <w:pPr>
              <w:jc w:val="right"/>
              <w:ind w:right="348"/>
              <w:spacing w:after="0"/>
              <w:rPr>
                <w:sz w:val="20"/>
                <w:szCs w:val="20"/>
                <w:color w:val="auto"/>
              </w:rPr>
            </w:pPr>
            <w:r>
              <w:rPr>
                <w:rFonts w:ascii="Arial" w:cs="Arial" w:eastAsia="Arial" w:hAnsi="Arial"/>
                <w:sz w:val="18"/>
                <w:szCs w:val="18"/>
                <w:color w:val="auto"/>
              </w:rPr>
              <w:t>3.4</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April 8, 2019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77">
              <w:r>
                <w:rPr>
                  <w:rFonts w:ascii="Arial" w:cs="Arial" w:eastAsia="Arial" w:hAnsi="Arial"/>
                  <w:sz w:val="18"/>
                  <w:szCs w:val="18"/>
                  <w:u w:val="single" w:color="auto"/>
                  <w:color w:val="0000EE"/>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8">
              <w:r>
                <w:rPr>
                  <w:rFonts w:ascii="Arial" w:cs="Arial" w:eastAsia="Arial" w:hAnsi="Arial"/>
                  <w:sz w:val="18"/>
                  <w:szCs w:val="18"/>
                  <w:u w:val="single" w:color="auto"/>
                  <w:color w:val="0000EE"/>
                </w:rPr>
                <w:t>3.2.</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Form of Class A Common Stock Certificate.</w:t>
              </w:r>
            </w:hyperlink>
          </w:p>
        </w:tc>
        <w:tc>
          <w:tcPr>
            <w:tcW w:w="640" w:type="dxa"/>
            <w:vAlign w:val="bottom"/>
            <w:gridSpan w:val="2"/>
          </w:tcPr>
          <w:p>
            <w:pPr>
              <w:spacing w:after="0"/>
              <w:rPr>
                <w:sz w:val="20"/>
                <w:szCs w:val="20"/>
                <w:color w:val="auto"/>
              </w:rPr>
            </w:pPr>
            <w:r>
              <w:rPr>
                <w:rFonts w:ascii="Arial" w:cs="Arial" w:eastAsia="Arial" w:hAnsi="Arial"/>
                <w:sz w:val="18"/>
                <w:szCs w:val="18"/>
                <w:color w:val="auto"/>
              </w:rPr>
              <w:t>S-1/A</w:t>
            </w:r>
          </w:p>
        </w:tc>
        <w:tc>
          <w:tcPr>
            <w:tcW w:w="1220" w:type="dxa"/>
            <w:vAlign w:val="bottom"/>
          </w:tcPr>
          <w:p>
            <w:pPr>
              <w:ind w:left="20"/>
              <w:spacing w:after="0"/>
              <w:rPr>
                <w:sz w:val="20"/>
                <w:szCs w:val="20"/>
                <w:color w:val="auto"/>
              </w:rPr>
            </w:pPr>
            <w:r>
              <w:rPr>
                <w:rFonts w:ascii="Arial" w:cs="Arial" w:eastAsia="Arial" w:hAnsi="Arial"/>
                <w:sz w:val="18"/>
                <w:szCs w:val="18"/>
                <w:color w:val="auto"/>
              </w:rPr>
              <w:t>333-230444</w:t>
            </w:r>
          </w:p>
        </w:tc>
        <w:tc>
          <w:tcPr>
            <w:tcW w:w="740" w:type="dxa"/>
            <w:vAlign w:val="bottom"/>
            <w:gridSpan w:val="2"/>
          </w:tcPr>
          <w:p>
            <w:pPr>
              <w:jc w:val="right"/>
              <w:ind w:right="348"/>
              <w:spacing w:after="0"/>
              <w:rPr>
                <w:sz w:val="20"/>
                <w:szCs w:val="20"/>
                <w:color w:val="auto"/>
              </w:rPr>
            </w:pPr>
            <w:r>
              <w:rPr>
                <w:rFonts w:ascii="Arial" w:cs="Arial" w:eastAsia="Arial" w:hAnsi="Arial"/>
                <w:sz w:val="18"/>
                <w:szCs w:val="18"/>
                <w:color w:val="auto"/>
              </w:rPr>
              <w:t>4.1</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April 8, 2019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Specimen Preferred Stock Certificate and Form of Certificate of</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Designation of Preferred Stock.</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4780" w:type="dxa"/>
            <w:vAlign w:val="bottom"/>
            <w:tcBorders>
              <w:bottom w:val="single" w:sz="8" w:color="0000EE"/>
            </w:tcBorders>
            <w:gridSpan w:val="7"/>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Third Amended and Restated Investors’ Rights Agreement by and</w:t>
              </w:r>
            </w:hyperlink>
          </w:p>
        </w:tc>
        <w:tc>
          <w:tcPr>
            <w:tcW w:w="500" w:type="dxa"/>
            <w:vAlign w:val="bottom"/>
            <w:gridSpan w:val="4"/>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S-1</w:t>
            </w:r>
          </w:p>
        </w:tc>
        <w:tc>
          <w:tcPr>
            <w:tcW w:w="1220" w:type="dxa"/>
            <w:vAlign w:val="bottom"/>
          </w:tcPr>
          <w:p>
            <w:pPr>
              <w:ind w:left="20"/>
              <w:spacing w:after="0"/>
              <w:rPr>
                <w:sz w:val="20"/>
                <w:szCs w:val="20"/>
                <w:color w:val="auto"/>
              </w:rPr>
            </w:pPr>
            <w:r>
              <w:rPr>
                <w:rFonts w:ascii="Arial" w:cs="Arial" w:eastAsia="Arial" w:hAnsi="Arial"/>
                <w:sz w:val="18"/>
                <w:szCs w:val="18"/>
                <w:color w:val="auto"/>
              </w:rPr>
              <w:t>333-230444</w:t>
            </w:r>
          </w:p>
        </w:tc>
        <w:tc>
          <w:tcPr>
            <w:tcW w:w="740" w:type="dxa"/>
            <w:vAlign w:val="bottom"/>
            <w:gridSpan w:val="2"/>
          </w:tcPr>
          <w:p>
            <w:pPr>
              <w:jc w:val="right"/>
              <w:ind w:right="348"/>
              <w:spacing w:after="0"/>
              <w:rPr>
                <w:sz w:val="20"/>
                <w:szCs w:val="20"/>
                <w:color w:val="auto"/>
              </w:rPr>
            </w:pPr>
            <w:r>
              <w:rPr>
                <w:rFonts w:ascii="Arial" w:cs="Arial" w:eastAsia="Arial" w:hAnsi="Arial"/>
                <w:sz w:val="18"/>
                <w:szCs w:val="18"/>
                <w:color w:val="auto"/>
              </w:rPr>
              <w:t>4.2</w:t>
            </w:r>
          </w:p>
        </w:tc>
        <w:tc>
          <w:tcPr>
            <w:tcW w:w="1660" w:type="dxa"/>
            <w:vAlign w:val="bottom"/>
            <w:gridSpan w:val="2"/>
          </w:tcPr>
          <w:p>
            <w:pPr>
              <w:ind w:left="120"/>
              <w:spacing w:after="0"/>
              <w:rPr>
                <w:sz w:val="20"/>
                <w:szCs w:val="20"/>
                <w:color w:val="auto"/>
              </w:rPr>
            </w:pPr>
            <w:r>
              <w:rPr>
                <w:rFonts w:ascii="Arial" w:cs="Arial" w:eastAsia="Arial" w:hAnsi="Arial"/>
                <w:sz w:val="18"/>
                <w:szCs w:val="18"/>
                <w:color w:val="auto"/>
              </w:rPr>
              <w:t>March 22, 2019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11"/>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among the Registrant and certain of its stockholders, dated</w:t>
              </w:r>
            </w:hyperlink>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December 1, 2016.</w:t>
              </w:r>
            </w:hyperlink>
          </w:p>
        </w:tc>
        <w:tc>
          <w:tcPr>
            <w:tcW w:w="2840" w:type="dxa"/>
            <w:vAlign w:val="bottom"/>
            <w:tcBorders>
              <w:top w:val="single" w:sz="8" w:color="0000EE"/>
            </w:tcBorders>
            <w:gridSpan w:val="2"/>
          </w:tcPr>
          <w:p>
            <w:pPr>
              <w:spacing w:after="0"/>
              <w:rPr>
                <w:sz w:val="17"/>
                <w:szCs w:val="17"/>
                <w:color w:val="auto"/>
              </w:rPr>
            </w:pPr>
          </w:p>
        </w:tc>
        <w:tc>
          <w:tcPr>
            <w:tcW w:w="106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Form of Indenture.</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Form of Debt Securities.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Form of Class A Common Stock Warrant Agreement and Warrant</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Certificate.</w:t>
              </w:r>
            </w:hyperlink>
          </w:p>
        </w:tc>
        <w:tc>
          <w:tcPr>
            <w:tcW w:w="54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u w:val="single" w:color="auto"/>
                <w:color w:val="0000EE"/>
                <w:w w:val="95"/>
              </w:rPr>
            </w:pPr>
            <w:hyperlink w:anchor="page117">
              <w:r>
                <w:rPr>
                  <w:rFonts w:ascii="Arial" w:cs="Arial" w:eastAsia="Arial" w:hAnsi="Arial"/>
                  <w:sz w:val="18"/>
                  <w:szCs w:val="18"/>
                  <w:u w:val="single" w:color="auto"/>
                  <w:color w:val="0000EE"/>
                  <w:w w:val="95"/>
                </w:rPr>
                <w:t>Form of Preferred Stock Warrant Agreement and Warrant Certificate.</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u w:val="single" w:color="auto"/>
                <w:color w:val="0000EE"/>
                <w:w w:val="96"/>
              </w:rPr>
            </w:pPr>
            <w:hyperlink w:anchor="page137">
              <w:r>
                <w:rPr>
                  <w:rFonts w:ascii="Arial" w:cs="Arial" w:eastAsia="Arial" w:hAnsi="Arial"/>
                  <w:sz w:val="18"/>
                  <w:szCs w:val="18"/>
                  <w:u w:val="single" w:color="auto"/>
                  <w:color w:val="0000EE"/>
                  <w:w w:val="96"/>
                </w:rPr>
                <w:t>Form of Debt Securities Warrant Agreement and Warrant Certificate.</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324"/>
        </w:trPr>
        <w:tc>
          <w:tcPr>
            <w:tcW w:w="500" w:type="dxa"/>
            <w:vAlign w:val="bottom"/>
          </w:tcPr>
          <w:p>
            <w:pPr>
              <w:jc w:val="right"/>
              <w:ind w:right="9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Opinion of Cooley LLP.</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83"/>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23.1</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color w:val="0000EE"/>
                <w:w w:val="95"/>
              </w:rPr>
            </w:pPr>
            <w:hyperlink w:anchor="page160">
              <w:r>
                <w:rPr>
                  <w:rFonts w:ascii="Arial" w:cs="Arial" w:eastAsia="Arial" w:hAnsi="Arial"/>
                  <w:sz w:val="18"/>
                  <w:szCs w:val="18"/>
                  <w:color w:val="0000EE"/>
                  <w:w w:val="95"/>
                </w:rPr>
                <w:t>Consent of KPMG US LLP, independent registered public accounting</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7"/>
              </w:rPr>
            </w:pPr>
            <w:hyperlink w:anchor="page160">
              <w:r>
                <w:rPr>
                  <w:rFonts w:ascii="Arial" w:cs="Arial" w:eastAsia="Arial" w:hAnsi="Arial"/>
                  <w:sz w:val="18"/>
                  <w:szCs w:val="18"/>
                  <w:color w:val="0000EE"/>
                  <w:w w:val="97"/>
                </w:rPr>
                <w:t>firm.</w:t>
              </w:r>
            </w:hyperlink>
          </w:p>
        </w:tc>
        <w:tc>
          <w:tcPr>
            <w:tcW w:w="4660" w:type="dxa"/>
            <w:vAlign w:val="bottom"/>
            <w:tcBorders>
              <w:top w:val="single" w:sz="8" w:color="0000EE"/>
            </w:tcBorders>
            <w:gridSpan w:val="8"/>
          </w:tcPr>
          <w:p>
            <w:pPr>
              <w:spacing w:after="0"/>
              <w:rPr>
                <w:sz w:val="17"/>
                <w:szCs w:val="17"/>
                <w:color w:val="auto"/>
              </w:rPr>
            </w:pPr>
          </w:p>
        </w:tc>
        <w:tc>
          <w:tcPr>
            <w:tcW w:w="2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23.2</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Consent of Cooley LLP (included in Exhibit 5.1).</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324"/>
        </w:trPr>
        <w:tc>
          <w:tcPr>
            <w:tcW w:w="500" w:type="dxa"/>
            <w:vAlign w:val="bottom"/>
          </w:tcPr>
          <w:p>
            <w:pPr>
              <w:jc w:val="right"/>
              <w:ind w:right="91"/>
              <w:spacing w:after="0"/>
              <w:rPr>
                <w:sz w:val="20"/>
                <w:szCs w:val="20"/>
                <w:color w:val="auto"/>
              </w:rPr>
            </w:pPr>
            <w:r>
              <w:rPr>
                <w:rFonts w:ascii="Arial" w:cs="Arial" w:eastAsia="Arial" w:hAnsi="Arial"/>
                <w:sz w:val="18"/>
                <w:szCs w:val="18"/>
                <w:color w:val="auto"/>
                <w:w w:val="85"/>
              </w:rPr>
              <w:t>24.1</w:t>
            </w:r>
          </w:p>
        </w:tc>
        <w:tc>
          <w:tcPr>
            <w:tcW w:w="100" w:type="dxa"/>
            <w:vAlign w:val="bottom"/>
          </w:tcPr>
          <w:p>
            <w:pPr>
              <w:spacing w:after="0"/>
              <w:rPr>
                <w:sz w:val="24"/>
                <w:szCs w:val="24"/>
                <w:color w:val="auto"/>
              </w:rPr>
            </w:pPr>
          </w:p>
        </w:tc>
        <w:tc>
          <w:tcPr>
            <w:tcW w:w="5280" w:type="dxa"/>
            <w:vAlign w:val="bottom"/>
            <w:gridSpan w:val="11"/>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Power of Attorney (included in signature page).</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w w:val="97"/>
              </w:rPr>
              <w:t>25.1**</w:t>
            </w:r>
          </w:p>
        </w:tc>
        <w:tc>
          <w:tcPr>
            <w:tcW w:w="100" w:type="dxa"/>
            <w:vAlign w:val="bottom"/>
          </w:tcPr>
          <w:p>
            <w:pPr>
              <w:spacing w:after="0"/>
              <w:rPr>
                <w:sz w:val="24"/>
                <w:szCs w:val="24"/>
                <w:color w:val="auto"/>
              </w:rPr>
            </w:pPr>
          </w:p>
        </w:tc>
        <w:tc>
          <w:tcPr>
            <w:tcW w:w="5280" w:type="dxa"/>
            <w:vAlign w:val="bottom"/>
            <w:gridSpan w:val="11"/>
          </w:tcPr>
          <w:p>
            <w:pPr>
              <w:spacing w:after="0"/>
              <w:rPr>
                <w:sz w:val="20"/>
                <w:szCs w:val="20"/>
                <w:color w:val="auto"/>
              </w:rPr>
            </w:pPr>
            <w:r>
              <w:rPr>
                <w:rFonts w:ascii="Arial" w:cs="Arial" w:eastAsia="Arial" w:hAnsi="Arial"/>
                <w:sz w:val="18"/>
                <w:szCs w:val="18"/>
                <w:color w:val="auto"/>
              </w:rPr>
              <w:t>Statement of Eligibility of Trustee under the Indenture.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be filed by amendment or as an exhibit to a Current Report on Form 8-K and incorporated herein by reference, if applicable.</w:t>
      </w:r>
    </w:p>
    <w:p>
      <w:pPr>
        <w:spacing w:after="0" w:line="23" w:lineRule="exact"/>
        <w:rPr>
          <w:sz w:val="20"/>
          <w:szCs w:val="20"/>
          <w:color w:val="auto"/>
        </w:rPr>
      </w:pPr>
    </w:p>
    <w:p>
      <w:pPr>
        <w:ind w:left="540" w:right="400" w:hanging="424"/>
        <w:spacing w:after="0" w:line="26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as amended, and the applicable rules thereunder.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820" w:hanging="264"/>
        <w:spacing w:after="0"/>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0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undertakings set forth in paragraphs (1)(i), (1)(ii) and (1)(iii) above do not apply if the information required to be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a post-effective amendment by those paragraphs is contained in reports filed with or furnished to the SEC by the registrant pursuant to Section 13 or Section 15(d) of the Exchange Act that are incorporated by reference in this registration statement or are contained in a form of prospectus filed pursuant to Rule 424(b) that is part of this registration statement.</w:t>
      </w:r>
    </w:p>
    <w:p>
      <w:pPr>
        <w:spacing w:after="0" w:line="187" w:lineRule="exact"/>
        <w:rPr>
          <w:sz w:val="20"/>
          <w:szCs w:val="20"/>
          <w:color w:val="auto"/>
        </w:rPr>
      </w:pPr>
    </w:p>
    <w:p>
      <w:pPr>
        <w:ind w:left="120" w:right="220" w:firstLine="436"/>
        <w:spacing w:after="0" w:line="263" w:lineRule="auto"/>
        <w:tabs>
          <w:tab w:leader="none" w:pos="8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120" w:right="640" w:firstLine="436"/>
        <w:spacing w:after="0" w:line="277" w:lineRule="auto"/>
        <w:tabs>
          <w:tab w:leader="none" w:pos="8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080" w:hanging="532"/>
        <w:spacing w:after="0" w:line="269"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36"/>
        <w:spacing w:after="0" w:line="257" w:lineRule="auto"/>
        <w:tabs>
          <w:tab w:leader="none" w:pos="815"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080" w:right="34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right="40" w:firstLine="436"/>
        <w:spacing w:after="0" w:line="279" w:lineRule="auto"/>
        <w:tabs>
          <w:tab w:leader="none" w:pos="815"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1" w:lineRule="exact"/>
        <w:rPr>
          <w:rFonts w:ascii="Arial" w:cs="Arial" w:eastAsia="Arial" w:hAnsi="Arial"/>
          <w:sz w:val="17"/>
          <w:szCs w:val="17"/>
          <w:color w:val="auto"/>
        </w:rPr>
      </w:pPr>
    </w:p>
    <w:p>
      <w:pPr>
        <w:ind w:left="120" w:right="540" w:firstLine="436"/>
        <w:spacing w:after="0" w:line="342" w:lineRule="auto"/>
        <w:tabs>
          <w:tab w:leader="none" w:pos="815"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23" w:lineRule="exact"/>
        <w:rPr>
          <w:rFonts w:ascii="Arial" w:cs="Arial" w:eastAsia="Arial" w:hAnsi="Arial"/>
          <w:sz w:val="16"/>
          <w:szCs w:val="16"/>
          <w:color w:val="auto"/>
        </w:rPr>
      </w:pPr>
    </w:p>
    <w:p>
      <w:pPr>
        <w:ind w:left="120" w:right="40" w:firstLine="436"/>
        <w:spacing w:after="0" w:line="254" w:lineRule="auto"/>
        <w:tabs>
          <w:tab w:leader="none" w:pos="8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Jose, State of California, on the 12</w:t>
      </w:r>
      <w:r>
        <w:rPr>
          <w:rFonts w:ascii="Arial" w:cs="Arial" w:eastAsia="Arial" w:hAnsi="Arial"/>
          <w:sz w:val="15"/>
          <w:szCs w:val="15"/>
          <w:color w:val="auto"/>
        </w:rPr>
        <w:t>th</w:t>
      </w:r>
      <w:r>
        <w:rPr>
          <w:rFonts w:ascii="Arial" w:cs="Arial" w:eastAsia="Arial" w:hAnsi="Arial"/>
          <w:sz w:val="18"/>
          <w:szCs w:val="18"/>
          <w:color w:val="auto"/>
        </w:rPr>
        <w:t xml:space="preserve"> day of January, 2021.</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5374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Eric S. Yuan</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Eric S. Yuan, Kelly Steckelberg, Aparna Bawa and Jeffrey C. True, and each of them, as his or her true and lawful agent, proxy and attorney-in-fact, with full power of substitution and resubstitution, for him or her and in their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6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5040" w:type="dxa"/>
            <w:vAlign w:val="bottom"/>
            <w:gridSpan w:val="3"/>
          </w:tcPr>
          <w:p>
            <w:pPr>
              <w:jc w:val="center"/>
              <w:ind w:left="112"/>
              <w:spacing w:after="0"/>
              <w:rPr>
                <w:sz w:val="20"/>
                <w:szCs w:val="20"/>
                <w:color w:val="auto"/>
              </w:rPr>
            </w:pPr>
            <w:r>
              <w:rPr>
                <w:rFonts w:ascii="Arial" w:cs="Arial" w:eastAsia="Arial" w:hAnsi="Arial"/>
                <w:sz w:val="14"/>
                <w:szCs w:val="14"/>
                <w:b w:val="1"/>
                <w:bCs w:val="1"/>
                <w:color w:val="auto"/>
                <w:w w:val="97"/>
              </w:rPr>
              <w:t>Title</w:t>
            </w:r>
          </w:p>
        </w:tc>
        <w:tc>
          <w:tcPr>
            <w:tcW w:w="1920" w:type="dxa"/>
            <w:vAlign w:val="bottom"/>
            <w:gridSpan w:val="3"/>
          </w:tcPr>
          <w:p>
            <w:pPr>
              <w:jc w:val="center"/>
              <w:ind w:left="61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5"/>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Eric S. Yuan</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color w:val="auto"/>
                <w:w w:val="92"/>
              </w:rPr>
              <w:t>President, Chief Executive Officer and Director</w:t>
            </w:r>
          </w:p>
        </w:tc>
        <w:tc>
          <w:tcPr>
            <w:tcW w:w="1920" w:type="dxa"/>
            <w:vAlign w:val="bottom"/>
            <w:gridSpan w:val="3"/>
          </w:tcPr>
          <w:p>
            <w:pPr>
              <w:jc w:val="center"/>
              <w:ind w:left="59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9"/>
              </w:rPr>
              <w:t>Eric S. Yuan</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i w:val="1"/>
                <w:iCs w:val="1"/>
                <w:color w:val="auto"/>
                <w:w w:val="93"/>
              </w:rPr>
              <w:t>(Principal Executive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Kelly Steckelberg</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color w:val="auto"/>
                <w:w w:val="94"/>
              </w:rPr>
              <w:t>Chief Financial Officer</w:t>
            </w:r>
          </w:p>
        </w:tc>
        <w:tc>
          <w:tcPr>
            <w:tcW w:w="1920" w:type="dxa"/>
            <w:vAlign w:val="bottom"/>
            <w:gridSpan w:val="3"/>
          </w:tcPr>
          <w:p>
            <w:pPr>
              <w:jc w:val="center"/>
              <w:ind w:left="59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3"/>
              </w:rPr>
              <w:t>Kelly Steckelberg</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i w:val="1"/>
                <w:iCs w:val="1"/>
                <w:color w:val="auto"/>
                <w:w w:val="96"/>
              </w:rPr>
              <w:t>(Principal Financial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Shane Crehan</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color w:val="auto"/>
                <w:w w:val="94"/>
              </w:rPr>
              <w:t>Chief Accounting Officer</w:t>
            </w:r>
          </w:p>
        </w:tc>
        <w:tc>
          <w:tcPr>
            <w:tcW w:w="1920" w:type="dxa"/>
            <w:vAlign w:val="bottom"/>
            <w:gridSpan w:val="3"/>
          </w:tcPr>
          <w:p>
            <w:pPr>
              <w:jc w:val="center"/>
              <w:ind w:left="59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7"/>
              </w:rPr>
              <w:t>Shane Crehan</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i w:val="1"/>
                <w:iCs w:val="1"/>
                <w:color w:val="auto"/>
                <w:w w:val="94"/>
              </w:rPr>
              <w:t>(Principal Accounting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Jonathan Chadwick</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9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Jonathan Chadwick</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Carl M. Eschenbach</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9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Carl M. Eschenbach</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Peter Gassner</w:t>
            </w:r>
          </w:p>
        </w:tc>
        <w:tc>
          <w:tcPr>
            <w:tcW w:w="5040" w:type="dxa"/>
            <w:vAlign w:val="bottom"/>
            <w:gridSpan w:val="3"/>
          </w:tcPr>
          <w:p>
            <w:pPr>
              <w:jc w:val="center"/>
              <w:ind w:left="112"/>
              <w:spacing w:after="0"/>
              <w:rPr>
                <w:sz w:val="20"/>
                <w:szCs w:val="20"/>
                <w:color w:val="auto"/>
              </w:rPr>
            </w:pPr>
            <w:r>
              <w:rPr>
                <w:rFonts w:ascii="Arial" w:cs="Arial" w:eastAsia="Arial" w:hAnsi="Arial"/>
                <w:sz w:val="18"/>
                <w:szCs w:val="18"/>
                <w:color w:val="auto"/>
                <w:w w:val="95"/>
              </w:rPr>
              <w:t>Director</w:t>
            </w:r>
          </w:p>
        </w:tc>
        <w:tc>
          <w:tcPr>
            <w:tcW w:w="1920" w:type="dxa"/>
            <w:vAlign w:val="bottom"/>
            <w:gridSpan w:val="3"/>
          </w:tcPr>
          <w:p>
            <w:pPr>
              <w:jc w:val="center"/>
              <w:ind w:left="59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4"/>
              </w:rPr>
              <w:t>Peter Gassner</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64"/>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40" w:type="dxa"/>
            <w:vAlign w:val="bottom"/>
            <w:gridSpan w:val="3"/>
          </w:tcPr>
          <w:p>
            <w:pPr>
              <w:ind w:left="1700"/>
              <w:spacing w:after="0"/>
              <w:rPr>
                <w:sz w:val="20"/>
                <w:szCs w:val="20"/>
                <w:color w:val="auto"/>
              </w:rPr>
            </w:pPr>
            <w:r>
              <w:rPr>
                <w:rFonts w:ascii="Arial" w:cs="Arial" w:eastAsia="Arial" w:hAnsi="Arial"/>
                <w:sz w:val="18"/>
                <w:szCs w:val="18"/>
                <w:color w:val="auto"/>
              </w:rPr>
              <w:t>II-5</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4320" w:type="dxa"/>
            <w:vAlign w:val="bottom"/>
            <w:gridSpan w:val="3"/>
          </w:tcPr>
          <w:p>
            <w:pPr>
              <w:jc w:val="center"/>
              <w:ind w:left="832"/>
              <w:spacing w:after="0"/>
              <w:rPr>
                <w:sz w:val="20"/>
                <w:szCs w:val="20"/>
                <w:color w:val="auto"/>
              </w:rPr>
            </w:pPr>
            <w:r>
              <w:rPr>
                <w:rFonts w:ascii="Arial" w:cs="Arial" w:eastAsia="Arial" w:hAnsi="Arial"/>
                <w:sz w:val="14"/>
                <w:szCs w:val="14"/>
                <w:b w:val="1"/>
                <w:bCs w:val="1"/>
                <w:color w:val="auto"/>
                <w:w w:val="97"/>
              </w:rPr>
              <w:t>Title</w:t>
            </w:r>
          </w:p>
        </w:tc>
        <w:tc>
          <w:tcPr>
            <w:tcW w:w="2640" w:type="dxa"/>
            <w:vAlign w:val="bottom"/>
            <w:gridSpan w:val="3"/>
          </w:tcPr>
          <w:p>
            <w:pPr>
              <w:jc w:val="center"/>
              <w:ind w:left="133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6"/>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Kimberly L. Hammonds</w:t>
            </w:r>
          </w:p>
        </w:tc>
        <w:tc>
          <w:tcPr>
            <w:tcW w:w="4320" w:type="dxa"/>
            <w:vAlign w:val="bottom"/>
            <w:gridSpan w:val="3"/>
          </w:tcPr>
          <w:p>
            <w:pPr>
              <w:jc w:val="center"/>
              <w:ind w:left="832"/>
              <w:spacing w:after="0"/>
              <w:rPr>
                <w:sz w:val="20"/>
                <w:szCs w:val="20"/>
                <w:color w:val="auto"/>
              </w:rPr>
            </w:pPr>
            <w:r>
              <w:rPr>
                <w:rFonts w:ascii="Arial" w:cs="Arial" w:eastAsia="Arial" w:hAnsi="Arial"/>
                <w:sz w:val="18"/>
                <w:szCs w:val="18"/>
                <w:color w:val="auto"/>
                <w:w w:val="95"/>
              </w:rPr>
              <w:t>Director</w:t>
            </w:r>
          </w:p>
        </w:tc>
        <w:tc>
          <w:tcPr>
            <w:tcW w:w="2640" w:type="dxa"/>
            <w:vAlign w:val="bottom"/>
            <w:gridSpan w:val="3"/>
          </w:tcPr>
          <w:p>
            <w:pPr>
              <w:jc w:val="center"/>
              <w:ind w:left="131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4"/>
              </w:rPr>
              <w:t>Kimberly L. Hammonds</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Lieut. Gen. H.R. McMaster</w:t>
            </w:r>
          </w:p>
        </w:tc>
        <w:tc>
          <w:tcPr>
            <w:tcW w:w="4320" w:type="dxa"/>
            <w:vAlign w:val="bottom"/>
            <w:gridSpan w:val="3"/>
          </w:tcPr>
          <w:p>
            <w:pPr>
              <w:jc w:val="center"/>
              <w:ind w:left="832"/>
              <w:spacing w:after="0"/>
              <w:rPr>
                <w:sz w:val="20"/>
                <w:szCs w:val="20"/>
                <w:color w:val="auto"/>
              </w:rPr>
            </w:pPr>
            <w:r>
              <w:rPr>
                <w:rFonts w:ascii="Arial" w:cs="Arial" w:eastAsia="Arial" w:hAnsi="Arial"/>
                <w:sz w:val="18"/>
                <w:szCs w:val="18"/>
                <w:color w:val="auto"/>
                <w:w w:val="95"/>
              </w:rPr>
              <w:t>Director</w:t>
            </w:r>
          </w:p>
        </w:tc>
        <w:tc>
          <w:tcPr>
            <w:tcW w:w="2640" w:type="dxa"/>
            <w:vAlign w:val="bottom"/>
            <w:gridSpan w:val="3"/>
          </w:tcPr>
          <w:p>
            <w:pPr>
              <w:jc w:val="center"/>
              <w:ind w:left="131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2"/>
              </w:rPr>
              <w:t>Lieut. Gen. H.R. McMaster</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Janet Napolitano</w:t>
            </w:r>
          </w:p>
        </w:tc>
        <w:tc>
          <w:tcPr>
            <w:tcW w:w="4320" w:type="dxa"/>
            <w:vAlign w:val="bottom"/>
            <w:gridSpan w:val="3"/>
          </w:tcPr>
          <w:p>
            <w:pPr>
              <w:jc w:val="center"/>
              <w:ind w:left="832"/>
              <w:spacing w:after="0"/>
              <w:rPr>
                <w:sz w:val="20"/>
                <w:szCs w:val="20"/>
                <w:color w:val="auto"/>
              </w:rPr>
            </w:pPr>
            <w:r>
              <w:rPr>
                <w:rFonts w:ascii="Arial" w:cs="Arial" w:eastAsia="Arial" w:hAnsi="Arial"/>
                <w:sz w:val="18"/>
                <w:szCs w:val="18"/>
                <w:color w:val="auto"/>
                <w:w w:val="95"/>
              </w:rPr>
              <w:t>Director</w:t>
            </w:r>
          </w:p>
        </w:tc>
        <w:tc>
          <w:tcPr>
            <w:tcW w:w="2640" w:type="dxa"/>
            <w:vAlign w:val="bottom"/>
            <w:gridSpan w:val="3"/>
          </w:tcPr>
          <w:p>
            <w:pPr>
              <w:jc w:val="center"/>
              <w:ind w:left="131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Janet Napolitano</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Dan Scheinman</w:t>
            </w:r>
          </w:p>
        </w:tc>
        <w:tc>
          <w:tcPr>
            <w:tcW w:w="4320" w:type="dxa"/>
            <w:vAlign w:val="bottom"/>
            <w:gridSpan w:val="3"/>
          </w:tcPr>
          <w:p>
            <w:pPr>
              <w:jc w:val="center"/>
              <w:ind w:left="832"/>
              <w:spacing w:after="0"/>
              <w:rPr>
                <w:sz w:val="20"/>
                <w:szCs w:val="20"/>
                <w:color w:val="auto"/>
              </w:rPr>
            </w:pPr>
            <w:r>
              <w:rPr>
                <w:rFonts w:ascii="Arial" w:cs="Arial" w:eastAsia="Arial" w:hAnsi="Arial"/>
                <w:sz w:val="18"/>
                <w:szCs w:val="18"/>
                <w:color w:val="auto"/>
                <w:w w:val="95"/>
              </w:rPr>
              <w:t>Director</w:t>
            </w:r>
          </w:p>
        </w:tc>
        <w:tc>
          <w:tcPr>
            <w:tcW w:w="2640" w:type="dxa"/>
            <w:vAlign w:val="bottom"/>
            <w:gridSpan w:val="3"/>
          </w:tcPr>
          <w:p>
            <w:pPr>
              <w:jc w:val="center"/>
              <w:ind w:left="131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88"/>
              </w:rPr>
              <w:t>Dan Scheinman</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Santiago Subotovsky</w:t>
            </w:r>
          </w:p>
        </w:tc>
        <w:tc>
          <w:tcPr>
            <w:tcW w:w="4320" w:type="dxa"/>
            <w:vAlign w:val="bottom"/>
            <w:gridSpan w:val="3"/>
          </w:tcPr>
          <w:p>
            <w:pPr>
              <w:jc w:val="center"/>
              <w:ind w:left="832"/>
              <w:spacing w:after="0"/>
              <w:rPr>
                <w:sz w:val="20"/>
                <w:szCs w:val="20"/>
                <w:color w:val="auto"/>
              </w:rPr>
            </w:pPr>
            <w:r>
              <w:rPr>
                <w:rFonts w:ascii="Arial" w:cs="Arial" w:eastAsia="Arial" w:hAnsi="Arial"/>
                <w:sz w:val="18"/>
                <w:szCs w:val="18"/>
                <w:color w:val="auto"/>
                <w:w w:val="95"/>
              </w:rPr>
              <w:t>Director</w:t>
            </w:r>
          </w:p>
        </w:tc>
        <w:tc>
          <w:tcPr>
            <w:tcW w:w="2640" w:type="dxa"/>
            <w:vAlign w:val="bottom"/>
            <w:gridSpan w:val="3"/>
          </w:tcPr>
          <w:p>
            <w:pPr>
              <w:jc w:val="center"/>
              <w:ind w:left="131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1"/>
              </w:rPr>
              <w:t>Santiago Subotovsky</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Bart Swanson</w:t>
            </w:r>
          </w:p>
        </w:tc>
        <w:tc>
          <w:tcPr>
            <w:tcW w:w="4320" w:type="dxa"/>
            <w:vAlign w:val="bottom"/>
            <w:gridSpan w:val="3"/>
          </w:tcPr>
          <w:p>
            <w:pPr>
              <w:jc w:val="center"/>
              <w:ind w:left="832"/>
              <w:spacing w:after="0"/>
              <w:rPr>
                <w:sz w:val="20"/>
                <w:szCs w:val="20"/>
                <w:color w:val="auto"/>
              </w:rPr>
            </w:pPr>
            <w:r>
              <w:rPr>
                <w:rFonts w:ascii="Arial" w:cs="Arial" w:eastAsia="Arial" w:hAnsi="Arial"/>
                <w:sz w:val="18"/>
                <w:szCs w:val="18"/>
                <w:color w:val="auto"/>
                <w:w w:val="95"/>
              </w:rPr>
              <w:t>Director</w:t>
            </w:r>
          </w:p>
        </w:tc>
        <w:tc>
          <w:tcPr>
            <w:tcW w:w="2640" w:type="dxa"/>
            <w:vAlign w:val="bottom"/>
            <w:gridSpan w:val="3"/>
          </w:tcPr>
          <w:p>
            <w:pPr>
              <w:jc w:val="center"/>
              <w:ind w:left="1313"/>
              <w:spacing w:after="0"/>
              <w:rPr>
                <w:sz w:val="20"/>
                <w:szCs w:val="20"/>
                <w:color w:val="auto"/>
              </w:rPr>
            </w:pPr>
            <w:r>
              <w:rPr>
                <w:rFonts w:ascii="Arial" w:cs="Arial" w:eastAsia="Arial" w:hAnsi="Arial"/>
                <w:sz w:val="18"/>
                <w:szCs w:val="18"/>
                <w:color w:val="auto"/>
                <w:w w:val="89"/>
              </w:rPr>
              <w:t>January 12, 2021</w:t>
            </w:r>
          </w:p>
        </w:tc>
      </w:tr>
      <w:tr>
        <w:trPr>
          <w:trHeight w:val="224"/>
        </w:trPr>
        <w:tc>
          <w:tcPr>
            <w:tcW w:w="3660" w:type="dxa"/>
            <w:vAlign w:val="bottom"/>
            <w:gridSpan w:val="3"/>
          </w:tcPr>
          <w:p>
            <w:pPr>
              <w:jc w:val="center"/>
              <w:spacing w:after="0"/>
              <w:rPr>
                <w:sz w:val="20"/>
                <w:szCs w:val="20"/>
                <w:color w:val="auto"/>
              </w:rPr>
            </w:pPr>
            <w:r>
              <w:rPr>
                <w:rFonts w:ascii="Arial" w:cs="Arial" w:eastAsia="Arial" w:hAnsi="Arial"/>
                <w:sz w:val="18"/>
                <w:szCs w:val="18"/>
                <w:color w:val="auto"/>
                <w:w w:val="90"/>
              </w:rPr>
              <w:t>Bart Swanson</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64"/>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20" w:type="dxa"/>
            <w:vAlign w:val="bottom"/>
            <w:gridSpan w:val="3"/>
          </w:tcPr>
          <w:p>
            <w:pPr>
              <w:ind w:left="1700"/>
              <w:spacing w:after="0"/>
              <w:rPr>
                <w:sz w:val="20"/>
                <w:szCs w:val="20"/>
                <w:color w:val="auto"/>
              </w:rPr>
            </w:pPr>
            <w:r>
              <w:rPr>
                <w:rFonts w:ascii="Arial" w:cs="Arial" w:eastAsia="Arial" w:hAnsi="Arial"/>
                <w:sz w:val="18"/>
                <w:szCs w:val="18"/>
                <w:color w:val="auto"/>
              </w:rPr>
              <w:t>II-6</w:t>
            </w: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740"/>
          </w:cols>
          <w:pgMar w:left="320" w:top="459" w:right="8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Iss</w:t>
      </w:r>
      <w:r>
        <w:rPr>
          <w:rFonts w:ascii="Arial" w:cs="Arial" w:eastAsia="Arial" w:hAnsi="Arial"/>
          <w:sz w:val="18"/>
          <w:szCs w:val="18"/>
          <w:color w:val="auto"/>
        </w:rPr>
        <w:t>u</w:t>
      </w:r>
      <w:r>
        <w:rPr>
          <w:rFonts w:ascii="Arial" w:cs="Arial" w:eastAsia="Arial" w:hAnsi="Arial"/>
          <w:sz w:val="18"/>
          <w:szCs w:val="18"/>
          <w:b w:val="1"/>
          <w:bCs w:val="1"/>
          <w:color w:val="auto"/>
        </w:rPr>
        <w:t>er</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020"/>
          </w:cols>
          <w:pgMar w:left="1440" w:top="121" w:right="4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ARTICLE 1</w:t>
            </w:r>
          </w:p>
        </w:tc>
        <w:tc>
          <w:tcPr>
            <w:tcW w:w="8740" w:type="dxa"/>
            <w:vAlign w:val="bottom"/>
            <w:gridSpan w:val="2"/>
          </w:tcPr>
          <w:p>
            <w:pPr>
              <w:ind w:left="140"/>
              <w:spacing w:after="0"/>
              <w:rPr>
                <w:sz w:val="20"/>
                <w:szCs w:val="20"/>
                <w:color w:val="auto"/>
              </w:rPr>
            </w:pPr>
            <w:r>
              <w:rPr>
                <w:rFonts w:ascii="Arial" w:cs="Arial" w:eastAsia="Arial" w:hAnsi="Arial"/>
                <w:sz w:val="18"/>
                <w:szCs w:val="18"/>
                <w:color w:val="auto"/>
              </w:rPr>
              <w:t>DEFINITIONS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1.01</w:t>
            </w:r>
          </w:p>
        </w:tc>
        <w:tc>
          <w:tcPr>
            <w:tcW w:w="8240" w:type="dxa"/>
            <w:vAlign w:val="bottom"/>
          </w:tcPr>
          <w:p>
            <w:pPr>
              <w:ind w:left="180"/>
              <w:spacing w:after="0"/>
              <w:rPr>
                <w:sz w:val="20"/>
                <w:szCs w:val="20"/>
                <w:color w:val="auto"/>
              </w:rPr>
            </w:pPr>
            <w:r>
              <w:rPr>
                <w:rFonts w:ascii="Arial" w:cs="Arial" w:eastAsia="Arial" w:hAnsi="Arial"/>
                <w:sz w:val="18"/>
                <w:szCs w:val="18"/>
                <w:color w:val="auto"/>
              </w:rPr>
              <w:t>Definitions of Terms</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9700" w:type="dxa"/>
            <w:vAlign w:val="bottom"/>
            <w:gridSpan w:val="3"/>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2.01</w:t>
            </w:r>
          </w:p>
        </w:tc>
        <w:tc>
          <w:tcPr>
            <w:tcW w:w="8240" w:type="dxa"/>
            <w:vAlign w:val="bottom"/>
          </w:tcPr>
          <w:p>
            <w:pPr>
              <w:ind w:left="180"/>
              <w:spacing w:after="0"/>
              <w:rPr>
                <w:sz w:val="20"/>
                <w:szCs w:val="20"/>
                <w:color w:val="auto"/>
              </w:rPr>
            </w:pPr>
            <w:r>
              <w:rPr>
                <w:rFonts w:ascii="Arial" w:cs="Arial" w:eastAsia="Arial" w:hAnsi="Arial"/>
                <w:sz w:val="18"/>
                <w:szCs w:val="18"/>
                <w:color w:val="auto"/>
              </w:rPr>
              <w:t>Designation and Terms of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2.02</w:t>
            </w:r>
          </w:p>
        </w:tc>
        <w:tc>
          <w:tcPr>
            <w:tcW w:w="8240" w:type="dxa"/>
            <w:vAlign w:val="bottom"/>
          </w:tcPr>
          <w:p>
            <w:pPr>
              <w:ind w:left="180"/>
              <w:spacing w:after="0"/>
              <w:rPr>
                <w:sz w:val="20"/>
                <w:szCs w:val="20"/>
                <w:color w:val="auto"/>
              </w:rPr>
            </w:pPr>
            <w:r>
              <w:rPr>
                <w:rFonts w:ascii="Arial" w:cs="Arial" w:eastAsia="Arial" w:hAnsi="Arial"/>
                <w:sz w:val="18"/>
                <w:szCs w:val="18"/>
                <w:color w:val="auto"/>
              </w:rPr>
              <w:t>Form of Securities and Trustee’s Certificate</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2.03</w:t>
            </w:r>
          </w:p>
        </w:tc>
        <w:tc>
          <w:tcPr>
            <w:tcW w:w="8240" w:type="dxa"/>
            <w:vAlign w:val="bottom"/>
          </w:tcPr>
          <w:p>
            <w:pPr>
              <w:ind w:left="180"/>
              <w:spacing w:after="0"/>
              <w:rPr>
                <w:sz w:val="20"/>
                <w:szCs w:val="20"/>
                <w:color w:val="auto"/>
              </w:rPr>
            </w:pPr>
            <w:r>
              <w:rPr>
                <w:rFonts w:ascii="Arial" w:cs="Arial" w:eastAsia="Arial" w:hAnsi="Arial"/>
                <w:sz w:val="18"/>
                <w:szCs w:val="18"/>
                <w:color w:val="auto"/>
              </w:rPr>
              <w:t>Denominations: Provisions for Payment</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2.04</w:t>
            </w:r>
          </w:p>
        </w:tc>
        <w:tc>
          <w:tcPr>
            <w:tcW w:w="8240" w:type="dxa"/>
            <w:vAlign w:val="bottom"/>
          </w:tcPr>
          <w:p>
            <w:pPr>
              <w:ind w:left="180"/>
              <w:spacing w:after="0"/>
              <w:rPr>
                <w:sz w:val="20"/>
                <w:szCs w:val="20"/>
                <w:color w:val="auto"/>
              </w:rPr>
            </w:pPr>
            <w:r>
              <w:rPr>
                <w:rFonts w:ascii="Arial" w:cs="Arial" w:eastAsia="Arial" w:hAnsi="Arial"/>
                <w:sz w:val="18"/>
                <w:szCs w:val="18"/>
                <w:color w:val="auto"/>
              </w:rPr>
              <w:t>Execution and Authentications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2.05</w:t>
            </w:r>
          </w:p>
        </w:tc>
        <w:tc>
          <w:tcPr>
            <w:tcW w:w="8240" w:type="dxa"/>
            <w:vAlign w:val="bottom"/>
          </w:tcPr>
          <w:p>
            <w:pPr>
              <w:ind w:left="180"/>
              <w:spacing w:after="0"/>
              <w:rPr>
                <w:sz w:val="20"/>
                <w:szCs w:val="20"/>
                <w:color w:val="auto"/>
              </w:rPr>
            </w:pPr>
            <w:r>
              <w:rPr>
                <w:rFonts w:ascii="Arial" w:cs="Arial" w:eastAsia="Arial" w:hAnsi="Arial"/>
                <w:sz w:val="18"/>
                <w:szCs w:val="18"/>
                <w:color w:val="auto"/>
              </w:rPr>
              <w:t>Registration of Transfer and Exchange</w:t>
            </w: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2.06</w:t>
            </w:r>
          </w:p>
        </w:tc>
        <w:tc>
          <w:tcPr>
            <w:tcW w:w="8240" w:type="dxa"/>
            <w:vAlign w:val="bottom"/>
          </w:tcPr>
          <w:p>
            <w:pPr>
              <w:ind w:left="180"/>
              <w:spacing w:after="0"/>
              <w:rPr>
                <w:sz w:val="20"/>
                <w:szCs w:val="20"/>
                <w:color w:val="auto"/>
              </w:rPr>
            </w:pPr>
            <w:r>
              <w:rPr>
                <w:rFonts w:ascii="Arial" w:cs="Arial" w:eastAsia="Arial" w:hAnsi="Arial"/>
                <w:sz w:val="18"/>
                <w:szCs w:val="18"/>
                <w:color w:val="auto"/>
              </w:rPr>
              <w:t>Temporary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2.07</w:t>
            </w:r>
          </w:p>
        </w:tc>
        <w:tc>
          <w:tcPr>
            <w:tcW w:w="8240" w:type="dxa"/>
            <w:vAlign w:val="bottom"/>
          </w:tcPr>
          <w:p>
            <w:pPr>
              <w:ind w:left="180"/>
              <w:spacing w:after="0"/>
              <w:rPr>
                <w:sz w:val="20"/>
                <w:szCs w:val="20"/>
                <w:color w:val="auto"/>
              </w:rPr>
            </w:pPr>
            <w:r>
              <w:rPr>
                <w:rFonts w:ascii="Arial" w:cs="Arial" w:eastAsia="Arial" w:hAnsi="Arial"/>
                <w:sz w:val="18"/>
                <w:szCs w:val="18"/>
                <w:color w:val="auto"/>
              </w:rPr>
              <w:t>Mutilated, Destroyed, Lost or Stolen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2.08</w:t>
            </w:r>
          </w:p>
        </w:tc>
        <w:tc>
          <w:tcPr>
            <w:tcW w:w="8240" w:type="dxa"/>
            <w:vAlign w:val="bottom"/>
          </w:tcPr>
          <w:p>
            <w:pPr>
              <w:ind w:left="180"/>
              <w:spacing w:after="0"/>
              <w:rPr>
                <w:sz w:val="20"/>
                <w:szCs w:val="20"/>
                <w:color w:val="auto"/>
              </w:rPr>
            </w:pPr>
            <w:r>
              <w:rPr>
                <w:rFonts w:ascii="Arial" w:cs="Arial" w:eastAsia="Arial" w:hAnsi="Arial"/>
                <w:sz w:val="18"/>
                <w:szCs w:val="18"/>
                <w:color w:val="auto"/>
              </w:rPr>
              <w:t>Cancellation</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2.09</w:t>
            </w:r>
          </w:p>
        </w:tc>
        <w:tc>
          <w:tcPr>
            <w:tcW w:w="8240" w:type="dxa"/>
            <w:vAlign w:val="bottom"/>
          </w:tcPr>
          <w:p>
            <w:pPr>
              <w:ind w:left="180"/>
              <w:spacing w:after="0"/>
              <w:rPr>
                <w:sz w:val="20"/>
                <w:szCs w:val="20"/>
                <w:color w:val="auto"/>
              </w:rPr>
            </w:pPr>
            <w:r>
              <w:rPr>
                <w:rFonts w:ascii="Arial" w:cs="Arial" w:eastAsia="Arial" w:hAnsi="Arial"/>
                <w:sz w:val="18"/>
                <w:szCs w:val="18"/>
                <w:color w:val="auto"/>
              </w:rPr>
              <w:t>Benefits of Indenture</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2.10</w:t>
            </w:r>
          </w:p>
        </w:tc>
        <w:tc>
          <w:tcPr>
            <w:tcW w:w="8240" w:type="dxa"/>
            <w:vAlign w:val="bottom"/>
          </w:tcPr>
          <w:p>
            <w:pPr>
              <w:ind w:left="180"/>
              <w:spacing w:after="0"/>
              <w:rPr>
                <w:sz w:val="20"/>
                <w:szCs w:val="20"/>
                <w:color w:val="auto"/>
              </w:rPr>
            </w:pPr>
            <w:r>
              <w:rPr>
                <w:rFonts w:ascii="Arial" w:cs="Arial" w:eastAsia="Arial" w:hAnsi="Arial"/>
                <w:sz w:val="18"/>
                <w:szCs w:val="18"/>
                <w:color w:val="auto"/>
              </w:rPr>
              <w:t>Authenticating Agent</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2.11</w:t>
            </w:r>
          </w:p>
        </w:tc>
        <w:tc>
          <w:tcPr>
            <w:tcW w:w="8240" w:type="dxa"/>
            <w:vAlign w:val="bottom"/>
          </w:tcPr>
          <w:p>
            <w:pPr>
              <w:ind w:left="180"/>
              <w:spacing w:after="0"/>
              <w:rPr>
                <w:sz w:val="20"/>
                <w:szCs w:val="20"/>
                <w:color w:val="auto"/>
              </w:rPr>
            </w:pPr>
            <w:r>
              <w:rPr>
                <w:rFonts w:ascii="Arial" w:cs="Arial" w:eastAsia="Arial" w:hAnsi="Arial"/>
                <w:sz w:val="18"/>
                <w:szCs w:val="18"/>
                <w:color w:val="auto"/>
              </w:rPr>
              <w:t>Global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2.12</w:t>
            </w:r>
          </w:p>
        </w:tc>
        <w:tc>
          <w:tcPr>
            <w:tcW w:w="8240" w:type="dxa"/>
            <w:vAlign w:val="bottom"/>
          </w:tcPr>
          <w:p>
            <w:pPr>
              <w:ind w:left="180"/>
              <w:spacing w:after="0"/>
              <w:rPr>
                <w:sz w:val="20"/>
                <w:szCs w:val="20"/>
                <w:color w:val="auto"/>
              </w:rPr>
            </w:pPr>
            <w:r>
              <w:rPr>
                <w:rFonts w:ascii="Arial" w:cs="Arial" w:eastAsia="Arial" w:hAnsi="Arial"/>
                <w:sz w:val="18"/>
                <w:szCs w:val="18"/>
                <w:color w:val="auto"/>
              </w:rPr>
              <w:t>CUSIP Numbers</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9700" w:type="dxa"/>
            <w:vAlign w:val="bottom"/>
            <w:gridSpan w:val="3"/>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3.01</w:t>
            </w:r>
          </w:p>
        </w:tc>
        <w:tc>
          <w:tcPr>
            <w:tcW w:w="824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3.02</w:t>
            </w:r>
          </w:p>
        </w:tc>
        <w:tc>
          <w:tcPr>
            <w:tcW w:w="8240" w:type="dxa"/>
            <w:vAlign w:val="bottom"/>
          </w:tcPr>
          <w:p>
            <w:pPr>
              <w:ind w:left="180"/>
              <w:spacing w:after="0"/>
              <w:rPr>
                <w:sz w:val="20"/>
                <w:szCs w:val="20"/>
                <w:color w:val="auto"/>
              </w:rPr>
            </w:pPr>
            <w:r>
              <w:rPr>
                <w:rFonts w:ascii="Arial" w:cs="Arial" w:eastAsia="Arial" w:hAnsi="Arial"/>
                <w:sz w:val="18"/>
                <w:szCs w:val="18"/>
                <w:color w:val="auto"/>
              </w:rPr>
              <w:t>Notice of Redemption</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3.03</w:t>
            </w:r>
          </w:p>
        </w:tc>
        <w:tc>
          <w:tcPr>
            <w:tcW w:w="8240" w:type="dxa"/>
            <w:vAlign w:val="bottom"/>
          </w:tcPr>
          <w:p>
            <w:pPr>
              <w:ind w:left="180"/>
              <w:spacing w:after="0"/>
              <w:rPr>
                <w:sz w:val="20"/>
                <w:szCs w:val="20"/>
                <w:color w:val="auto"/>
              </w:rPr>
            </w:pPr>
            <w:r>
              <w:rPr>
                <w:rFonts w:ascii="Arial" w:cs="Arial" w:eastAsia="Arial" w:hAnsi="Arial"/>
                <w:sz w:val="18"/>
                <w:szCs w:val="18"/>
                <w:color w:val="auto"/>
              </w:rPr>
              <w:t>Payment Upon Redemption</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3.04</w:t>
            </w:r>
          </w:p>
        </w:tc>
        <w:tc>
          <w:tcPr>
            <w:tcW w:w="8240" w:type="dxa"/>
            <w:vAlign w:val="bottom"/>
          </w:tcPr>
          <w:p>
            <w:pPr>
              <w:ind w:left="180"/>
              <w:spacing w:after="0"/>
              <w:rPr>
                <w:sz w:val="20"/>
                <w:szCs w:val="20"/>
                <w:color w:val="auto"/>
              </w:rPr>
            </w:pPr>
            <w:r>
              <w:rPr>
                <w:rFonts w:ascii="Arial" w:cs="Arial" w:eastAsia="Arial" w:hAnsi="Arial"/>
                <w:sz w:val="18"/>
                <w:szCs w:val="18"/>
                <w:color w:val="auto"/>
              </w:rPr>
              <w:t>Sinking Fund</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3.05</w:t>
            </w:r>
          </w:p>
        </w:tc>
        <w:tc>
          <w:tcPr>
            <w:tcW w:w="8240" w:type="dxa"/>
            <w:vAlign w:val="bottom"/>
          </w:tcPr>
          <w:p>
            <w:pPr>
              <w:ind w:left="180"/>
              <w:spacing w:after="0"/>
              <w:rPr>
                <w:sz w:val="20"/>
                <w:szCs w:val="20"/>
                <w:color w:val="auto"/>
              </w:rPr>
            </w:pPr>
            <w:r>
              <w:rPr>
                <w:rFonts w:ascii="Arial" w:cs="Arial" w:eastAsia="Arial" w:hAnsi="Arial"/>
                <w:sz w:val="18"/>
                <w:szCs w:val="18"/>
                <w:color w:val="auto"/>
              </w:rPr>
              <w:t>Satisfaction of Sinking Fund Payments with Securities</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3.06</w:t>
            </w:r>
          </w:p>
        </w:tc>
        <w:tc>
          <w:tcPr>
            <w:tcW w:w="8240" w:type="dxa"/>
            <w:vAlign w:val="bottom"/>
          </w:tcPr>
          <w:p>
            <w:pPr>
              <w:ind w:left="180"/>
              <w:spacing w:after="0"/>
              <w:rPr>
                <w:sz w:val="20"/>
                <w:szCs w:val="20"/>
                <w:color w:val="auto"/>
              </w:rPr>
            </w:pPr>
            <w:r>
              <w:rPr>
                <w:rFonts w:ascii="Arial" w:cs="Arial" w:eastAsia="Arial" w:hAnsi="Arial"/>
                <w:sz w:val="18"/>
                <w:szCs w:val="18"/>
                <w:color w:val="auto"/>
              </w:rPr>
              <w:t>Redemption of Securities for Sinking Fund</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4"/>
        </w:trPr>
        <w:tc>
          <w:tcPr>
            <w:tcW w:w="960" w:type="dxa"/>
            <w:vAlign w:val="bottom"/>
          </w:tcPr>
          <w:p>
            <w:pPr>
              <w:spacing w:after="0"/>
              <w:rPr>
                <w:sz w:val="20"/>
                <w:szCs w:val="20"/>
                <w:color w:val="auto"/>
              </w:rPr>
            </w:pPr>
            <w:r>
              <w:rPr>
                <w:rFonts w:ascii="Arial" w:cs="Arial" w:eastAsia="Arial" w:hAnsi="Arial"/>
                <w:sz w:val="18"/>
                <w:szCs w:val="18"/>
                <w:color w:val="auto"/>
              </w:rPr>
              <w:t>ARTICLE 4</w:t>
            </w: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COVENANTS</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4.01</w:t>
            </w:r>
          </w:p>
        </w:tc>
        <w:tc>
          <w:tcPr>
            <w:tcW w:w="8240" w:type="dxa"/>
            <w:vAlign w:val="bottom"/>
          </w:tcPr>
          <w:p>
            <w:pPr>
              <w:ind w:left="180"/>
              <w:spacing w:after="0"/>
              <w:rPr>
                <w:sz w:val="20"/>
                <w:szCs w:val="20"/>
                <w:color w:val="auto"/>
              </w:rPr>
            </w:pPr>
            <w:r>
              <w:rPr>
                <w:rFonts w:ascii="Arial" w:cs="Arial" w:eastAsia="Arial" w:hAnsi="Arial"/>
                <w:sz w:val="18"/>
                <w:szCs w:val="18"/>
                <w:color w:val="auto"/>
              </w:rPr>
              <w:t>Payment of Principal, Premium and Interest</w:t>
            </w: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4.02</w:t>
            </w:r>
          </w:p>
        </w:tc>
        <w:tc>
          <w:tcPr>
            <w:tcW w:w="8240" w:type="dxa"/>
            <w:vAlign w:val="bottom"/>
          </w:tcPr>
          <w:p>
            <w:pPr>
              <w:ind w:left="180"/>
              <w:spacing w:after="0"/>
              <w:rPr>
                <w:sz w:val="20"/>
                <w:szCs w:val="20"/>
                <w:color w:val="auto"/>
              </w:rPr>
            </w:pPr>
            <w:r>
              <w:rPr>
                <w:rFonts w:ascii="Arial" w:cs="Arial" w:eastAsia="Arial" w:hAnsi="Arial"/>
                <w:sz w:val="18"/>
                <w:szCs w:val="18"/>
                <w:color w:val="auto"/>
              </w:rPr>
              <w:t>Maintenance of Office or Agency</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4"/>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4.03</w:t>
            </w:r>
          </w:p>
        </w:tc>
        <w:tc>
          <w:tcPr>
            <w:tcW w:w="8240" w:type="dxa"/>
            <w:vAlign w:val="bottom"/>
          </w:tcPr>
          <w:p>
            <w:pPr>
              <w:ind w:left="180"/>
              <w:spacing w:after="0"/>
              <w:rPr>
                <w:sz w:val="20"/>
                <w:szCs w:val="20"/>
                <w:color w:val="auto"/>
              </w:rPr>
            </w:pPr>
            <w:r>
              <w:rPr>
                <w:rFonts w:ascii="Arial" w:cs="Arial" w:eastAsia="Arial" w:hAnsi="Arial"/>
                <w:sz w:val="18"/>
                <w:szCs w:val="18"/>
                <w:color w:val="auto"/>
              </w:rPr>
              <w:t>Paying Agents</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3"/>
        </w:trPr>
        <w:tc>
          <w:tcPr>
            <w:tcW w:w="1460" w:type="dxa"/>
            <w:vAlign w:val="bottom"/>
            <w:gridSpan w:val="2"/>
          </w:tcPr>
          <w:p>
            <w:pPr>
              <w:ind w:left="360"/>
              <w:spacing w:after="0"/>
              <w:rPr>
                <w:sz w:val="20"/>
                <w:szCs w:val="20"/>
                <w:color w:val="auto"/>
              </w:rPr>
            </w:pPr>
            <w:r>
              <w:rPr>
                <w:rFonts w:ascii="Arial" w:cs="Arial" w:eastAsia="Arial" w:hAnsi="Arial"/>
                <w:sz w:val="18"/>
                <w:szCs w:val="18"/>
                <w:color w:val="auto"/>
              </w:rPr>
              <w:t>Section 4.04</w:t>
            </w:r>
          </w:p>
        </w:tc>
        <w:tc>
          <w:tcPr>
            <w:tcW w:w="8240" w:type="dxa"/>
            <w:vAlign w:val="bottom"/>
          </w:tcPr>
          <w:p>
            <w:pPr>
              <w:ind w:left="180"/>
              <w:spacing w:after="0"/>
              <w:rPr>
                <w:sz w:val="20"/>
                <w:szCs w:val="20"/>
                <w:color w:val="auto"/>
              </w:rPr>
            </w:pPr>
            <w:r>
              <w:rPr>
                <w:rFonts w:ascii="Arial" w:cs="Arial" w:eastAsia="Arial" w:hAnsi="Arial"/>
                <w:sz w:val="18"/>
                <w:szCs w:val="18"/>
                <w:color w:val="auto"/>
              </w:rPr>
              <w:t>Appointment to Fill Vacancy in Office of Trustee</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5"/>
        </w:trPr>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40" w:type="dxa"/>
            <w:vAlign w:val="bottom"/>
          </w:tcPr>
          <w:p>
            <w:pPr>
              <w:ind w:left="4000"/>
              <w:spacing w:after="0"/>
              <w:rPr>
                <w:sz w:val="20"/>
                <w:szCs w:val="20"/>
                <w:color w:val="auto"/>
              </w:rPr>
            </w:pPr>
            <w:r>
              <w:rPr>
                <w:rFonts w:ascii="Arial" w:cs="Arial" w:eastAsia="Arial" w:hAnsi="Arial"/>
                <w:sz w:val="18"/>
                <w:szCs w:val="18"/>
                <w:color w:val="auto"/>
              </w:rPr>
              <w:t>i.</w:t>
            </w:r>
          </w:p>
        </w:tc>
        <w:tc>
          <w:tcPr>
            <w:tcW w:w="126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ARTICLE 5  SECURITYHOLDERS’ LISTS AND REPORTS BY THE COMPANY AND THE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800" w:type="dxa"/>
            <w:vAlign w:val="bottom"/>
          </w:tcPr>
          <w:p>
            <w:pPr>
              <w:ind w:left="18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4"/>
        </w:trPr>
        <w:tc>
          <w:tcPr>
            <w:tcW w:w="146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800" w:type="dxa"/>
            <w:vAlign w:val="bottom"/>
          </w:tcPr>
          <w:p>
            <w:pPr>
              <w:ind w:left="180"/>
              <w:spacing w:after="0"/>
              <w:rPr>
                <w:sz w:val="20"/>
                <w:szCs w:val="20"/>
                <w:color w:val="auto"/>
              </w:rPr>
            </w:pPr>
            <w:r>
              <w:rPr>
                <w:rFonts w:ascii="Arial" w:cs="Arial" w:eastAsia="Arial" w:hAnsi="Arial"/>
                <w:sz w:val="18"/>
                <w:szCs w:val="18"/>
                <w:color w:val="auto"/>
              </w:rPr>
              <w:t>Preservation Of Information; Communications With Securityholders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800" w:type="dxa"/>
            <w:vAlign w:val="bottom"/>
          </w:tcPr>
          <w:p>
            <w:pPr>
              <w:ind w:left="180"/>
              <w:spacing w:after="0"/>
              <w:rPr>
                <w:sz w:val="20"/>
                <w:szCs w:val="20"/>
                <w:color w:val="auto"/>
              </w:rPr>
            </w:pPr>
            <w:r>
              <w:rPr>
                <w:rFonts w:ascii="Arial" w:cs="Arial" w:eastAsia="Arial" w:hAnsi="Arial"/>
                <w:sz w:val="18"/>
                <w:szCs w:val="18"/>
                <w:color w:val="auto"/>
              </w:rPr>
              <w:t>Reports by the Company</w:t>
            </w:r>
          </w:p>
        </w:tc>
        <w:tc>
          <w:tcPr>
            <w:tcW w:w="17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800" w:type="dxa"/>
            <w:vAlign w:val="bottom"/>
          </w:tcPr>
          <w:p>
            <w:pPr>
              <w:ind w:left="180"/>
              <w:spacing w:after="0"/>
              <w:rPr>
                <w:sz w:val="20"/>
                <w:szCs w:val="20"/>
                <w:color w:val="auto"/>
              </w:rPr>
            </w:pPr>
            <w:r>
              <w:rPr>
                <w:rFonts w:ascii="Arial" w:cs="Arial" w:eastAsia="Arial" w:hAnsi="Arial"/>
                <w:sz w:val="18"/>
                <w:szCs w:val="18"/>
                <w:color w:val="auto"/>
              </w:rPr>
              <w:t>Reports by the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3"/>
        </w:trPr>
        <w:tc>
          <w:tcPr>
            <w:tcW w:w="9260" w:type="dxa"/>
            <w:vAlign w:val="bottom"/>
            <w:gridSpan w:val="2"/>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80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17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800" w:type="dxa"/>
            <w:vAlign w:val="bottom"/>
          </w:tcPr>
          <w:p>
            <w:pPr>
              <w:ind w:left="180"/>
              <w:spacing w:after="0"/>
              <w:rPr>
                <w:sz w:val="20"/>
                <w:szCs w:val="20"/>
                <w:color w:val="auto"/>
              </w:rPr>
            </w:pPr>
            <w:r>
              <w:rPr>
                <w:rFonts w:ascii="Arial" w:cs="Arial" w:eastAsia="Arial" w:hAnsi="Arial"/>
                <w:sz w:val="18"/>
                <w:szCs w:val="18"/>
                <w:color w:val="auto"/>
              </w:rPr>
              <w:t>Collection of Indebtedness and Suits for Enforcement by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84"/>
        </w:trPr>
        <w:tc>
          <w:tcPr>
            <w:tcW w:w="146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800" w:type="dxa"/>
            <w:vAlign w:val="bottom"/>
          </w:tcPr>
          <w:p>
            <w:pPr>
              <w:ind w:left="180"/>
              <w:spacing w:after="0"/>
              <w:rPr>
                <w:sz w:val="20"/>
                <w:szCs w:val="20"/>
                <w:color w:val="auto"/>
              </w:rPr>
            </w:pPr>
            <w:r>
              <w:rPr>
                <w:rFonts w:ascii="Arial" w:cs="Arial" w:eastAsia="Arial" w:hAnsi="Arial"/>
                <w:sz w:val="18"/>
                <w:szCs w:val="18"/>
                <w:color w:val="auto"/>
              </w:rPr>
              <w:t>Application of Moneys Collected</w:t>
            </w: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80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800" w:type="dxa"/>
            <w:vAlign w:val="bottom"/>
          </w:tcPr>
          <w:p>
            <w:pPr>
              <w:ind w:left="180"/>
              <w:spacing w:after="0"/>
              <w:rPr>
                <w:sz w:val="20"/>
                <w:szCs w:val="20"/>
                <w:color w:val="auto"/>
              </w:rPr>
            </w:pPr>
            <w:r>
              <w:rPr>
                <w:rFonts w:ascii="Arial" w:cs="Arial" w:eastAsia="Arial" w:hAnsi="Arial"/>
                <w:sz w:val="18"/>
                <w:szCs w:val="18"/>
                <w:color w:val="auto"/>
              </w:rPr>
              <w:t>Rights and Remedies Cumulative; Delay or Omission Not Waiver</w:t>
            </w:r>
          </w:p>
        </w:tc>
        <w:tc>
          <w:tcPr>
            <w:tcW w:w="17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800" w:type="dxa"/>
            <w:vAlign w:val="bottom"/>
          </w:tcPr>
          <w:p>
            <w:pPr>
              <w:ind w:left="180"/>
              <w:spacing w:after="0"/>
              <w:rPr>
                <w:sz w:val="20"/>
                <w:szCs w:val="20"/>
                <w:color w:val="auto"/>
              </w:rPr>
            </w:pPr>
            <w:r>
              <w:rPr>
                <w:rFonts w:ascii="Arial" w:cs="Arial" w:eastAsia="Arial" w:hAnsi="Arial"/>
                <w:sz w:val="18"/>
                <w:szCs w:val="18"/>
                <w:color w:val="auto"/>
              </w:rPr>
              <w:t>Control by Securityholders</w:t>
            </w:r>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800" w:type="dxa"/>
            <w:vAlign w:val="bottom"/>
          </w:tcPr>
          <w:p>
            <w:pPr>
              <w:ind w:left="180"/>
              <w:spacing w:after="0"/>
              <w:rPr>
                <w:sz w:val="20"/>
                <w:szCs w:val="20"/>
                <w:color w:val="auto"/>
              </w:rPr>
            </w:pPr>
            <w:r>
              <w:rPr>
                <w:rFonts w:ascii="Arial" w:cs="Arial" w:eastAsia="Arial" w:hAnsi="Arial"/>
                <w:sz w:val="18"/>
                <w:szCs w:val="18"/>
                <w:color w:val="auto"/>
              </w:rPr>
              <w:t>Undertaking to Pay Costs</w:t>
            </w:r>
          </w:p>
        </w:tc>
        <w:tc>
          <w:tcPr>
            <w:tcW w:w="17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83"/>
        </w:trPr>
        <w:tc>
          <w:tcPr>
            <w:tcW w:w="9260" w:type="dxa"/>
            <w:vAlign w:val="bottom"/>
            <w:gridSpan w:val="2"/>
          </w:tcPr>
          <w:p>
            <w:pPr>
              <w:spacing w:after="0"/>
              <w:rPr>
                <w:sz w:val="20"/>
                <w:szCs w:val="20"/>
                <w:color w:val="auto"/>
              </w:rPr>
            </w:pPr>
            <w:r>
              <w:rPr>
                <w:rFonts w:ascii="Arial" w:cs="Arial" w:eastAsia="Arial" w:hAnsi="Arial"/>
                <w:sz w:val="18"/>
                <w:szCs w:val="18"/>
                <w:color w:val="auto"/>
              </w:rPr>
              <w:t>ARTICLE 7   CONCERNING THE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4"/>
        </w:trPr>
        <w:tc>
          <w:tcPr>
            <w:tcW w:w="146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800" w:type="dxa"/>
            <w:vAlign w:val="bottom"/>
          </w:tcPr>
          <w:p>
            <w:pPr>
              <w:ind w:left="180"/>
              <w:spacing w:after="0"/>
              <w:rPr>
                <w:sz w:val="20"/>
                <w:szCs w:val="20"/>
                <w:color w:val="auto"/>
              </w:rPr>
            </w:pPr>
            <w:r>
              <w:rPr>
                <w:rFonts w:ascii="Arial" w:cs="Arial" w:eastAsia="Arial" w:hAnsi="Arial"/>
                <w:sz w:val="18"/>
                <w:szCs w:val="18"/>
                <w:color w:val="auto"/>
              </w:rPr>
              <w:t>Certain Duties and Responsibilities of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800" w:type="dxa"/>
            <w:vAlign w:val="bottom"/>
          </w:tcPr>
          <w:p>
            <w:pPr>
              <w:ind w:left="180"/>
              <w:spacing w:after="0"/>
              <w:rPr>
                <w:sz w:val="20"/>
                <w:szCs w:val="20"/>
                <w:color w:val="auto"/>
              </w:rPr>
            </w:pPr>
            <w:r>
              <w:rPr>
                <w:rFonts w:ascii="Arial" w:cs="Arial" w:eastAsia="Arial" w:hAnsi="Arial"/>
                <w:sz w:val="18"/>
                <w:szCs w:val="18"/>
                <w:color w:val="auto"/>
              </w:rPr>
              <w:t>Certain Rights of Trustee</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800" w:type="dxa"/>
            <w:vAlign w:val="bottom"/>
          </w:tcPr>
          <w:p>
            <w:pPr>
              <w:ind w:left="180"/>
              <w:spacing w:after="0"/>
              <w:rPr>
                <w:sz w:val="20"/>
                <w:szCs w:val="20"/>
                <w:color w:val="auto"/>
              </w:rPr>
            </w:pPr>
            <w:r>
              <w:rPr>
                <w:rFonts w:ascii="Arial" w:cs="Arial" w:eastAsia="Arial" w:hAnsi="Arial"/>
                <w:sz w:val="18"/>
                <w:szCs w:val="18"/>
                <w:color w:val="auto"/>
              </w:rPr>
              <w:t>Trustee Not Responsible for Recitals or Issuance or Securities</w:t>
            </w: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800" w:type="dxa"/>
            <w:vAlign w:val="bottom"/>
          </w:tcPr>
          <w:p>
            <w:pPr>
              <w:ind w:left="180"/>
              <w:spacing w:after="0"/>
              <w:rPr>
                <w:sz w:val="20"/>
                <w:szCs w:val="20"/>
                <w:color w:val="auto"/>
              </w:rPr>
            </w:pPr>
            <w:r>
              <w:rPr>
                <w:rFonts w:ascii="Arial" w:cs="Arial" w:eastAsia="Arial" w:hAnsi="Arial"/>
                <w:sz w:val="18"/>
                <w:szCs w:val="18"/>
                <w:color w:val="auto"/>
              </w:rPr>
              <w:t>May Hold Securities</w:t>
            </w: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800" w:type="dxa"/>
            <w:vAlign w:val="bottom"/>
          </w:tcPr>
          <w:p>
            <w:pPr>
              <w:ind w:left="180"/>
              <w:spacing w:after="0"/>
              <w:rPr>
                <w:sz w:val="20"/>
                <w:szCs w:val="20"/>
                <w:color w:val="auto"/>
              </w:rPr>
            </w:pPr>
            <w:r>
              <w:rPr>
                <w:rFonts w:ascii="Arial" w:cs="Arial" w:eastAsia="Arial" w:hAnsi="Arial"/>
                <w:sz w:val="18"/>
                <w:szCs w:val="18"/>
                <w:color w:val="auto"/>
              </w:rPr>
              <w:t>Moneys Held in Trust</w:t>
            </w: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4"/>
        </w:trPr>
        <w:tc>
          <w:tcPr>
            <w:tcW w:w="146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800" w:type="dxa"/>
            <w:vAlign w:val="bottom"/>
          </w:tcPr>
          <w:p>
            <w:pPr>
              <w:ind w:left="180"/>
              <w:spacing w:after="0"/>
              <w:rPr>
                <w:sz w:val="20"/>
                <w:szCs w:val="20"/>
                <w:color w:val="auto"/>
              </w:rPr>
            </w:pPr>
            <w:r>
              <w:rPr>
                <w:rFonts w:ascii="Arial" w:cs="Arial" w:eastAsia="Arial" w:hAnsi="Arial"/>
                <w:sz w:val="18"/>
                <w:szCs w:val="18"/>
                <w:color w:val="auto"/>
              </w:rPr>
              <w:t>Compensation and Reimbursement</w:t>
            </w: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800" w:type="dxa"/>
            <w:vAlign w:val="bottom"/>
          </w:tcPr>
          <w:p>
            <w:pPr>
              <w:ind w:left="180"/>
              <w:spacing w:after="0"/>
              <w:rPr>
                <w:sz w:val="20"/>
                <w:szCs w:val="20"/>
                <w:color w:val="auto"/>
              </w:rPr>
            </w:pPr>
            <w:r>
              <w:rPr>
                <w:rFonts w:ascii="Arial" w:cs="Arial" w:eastAsia="Arial" w:hAnsi="Arial"/>
                <w:sz w:val="18"/>
                <w:szCs w:val="18"/>
                <w:color w:val="auto"/>
              </w:rPr>
              <w:t>Reliance on Officer’s Certificate</w:t>
            </w: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46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800" w:type="dxa"/>
            <w:vAlign w:val="bottom"/>
          </w:tcPr>
          <w:p>
            <w:pPr>
              <w:ind w:left="180"/>
              <w:spacing w:after="0"/>
              <w:rPr>
                <w:sz w:val="20"/>
                <w:szCs w:val="20"/>
                <w:color w:val="auto"/>
              </w:rPr>
            </w:pPr>
            <w:r>
              <w:rPr>
                <w:rFonts w:ascii="Arial" w:cs="Arial" w:eastAsia="Arial" w:hAnsi="Arial"/>
                <w:sz w:val="18"/>
                <w:szCs w:val="18"/>
                <w:color w:val="auto"/>
              </w:rPr>
              <w:t>Disqualification; Conflicting Interests</w:t>
            </w: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800" w:type="dxa"/>
            <w:vAlign w:val="bottom"/>
          </w:tcPr>
          <w:p>
            <w:pPr>
              <w:ind w:left="180"/>
              <w:spacing w:after="0"/>
              <w:rPr>
                <w:sz w:val="20"/>
                <w:szCs w:val="20"/>
                <w:color w:val="auto"/>
              </w:rPr>
            </w:pPr>
            <w:r>
              <w:rPr>
                <w:rFonts w:ascii="Arial" w:cs="Arial" w:eastAsia="Arial" w:hAnsi="Arial"/>
                <w:sz w:val="18"/>
                <w:szCs w:val="18"/>
                <w:color w:val="auto"/>
              </w:rPr>
              <w:t>Corporate Trustee Required; Eligibility</w:t>
            </w: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800" w:type="dxa"/>
            <w:vAlign w:val="bottom"/>
          </w:tcPr>
          <w:p>
            <w:pPr>
              <w:ind w:left="180"/>
              <w:spacing w:after="0"/>
              <w:rPr>
                <w:sz w:val="20"/>
                <w:szCs w:val="20"/>
                <w:color w:val="auto"/>
              </w:rPr>
            </w:pPr>
            <w:r>
              <w:rPr>
                <w:rFonts w:ascii="Arial" w:cs="Arial" w:eastAsia="Arial" w:hAnsi="Arial"/>
                <w:sz w:val="18"/>
                <w:szCs w:val="18"/>
                <w:color w:val="auto"/>
              </w:rPr>
              <w:t>Resignation and Removal; Appointment of Successor</w:t>
            </w: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84"/>
        </w:trPr>
        <w:tc>
          <w:tcPr>
            <w:tcW w:w="146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800" w:type="dxa"/>
            <w:vAlign w:val="bottom"/>
          </w:tcPr>
          <w:p>
            <w:pPr>
              <w:ind w:left="180"/>
              <w:spacing w:after="0"/>
              <w:rPr>
                <w:sz w:val="20"/>
                <w:szCs w:val="20"/>
                <w:color w:val="auto"/>
              </w:rPr>
            </w:pPr>
            <w:r>
              <w:rPr>
                <w:rFonts w:ascii="Arial" w:cs="Arial" w:eastAsia="Arial" w:hAnsi="Arial"/>
                <w:sz w:val="18"/>
                <w:szCs w:val="18"/>
                <w:color w:val="auto"/>
              </w:rPr>
              <w:t>Acceptance of Appointment By Successor</w:t>
            </w:r>
          </w:p>
        </w:tc>
        <w:tc>
          <w:tcPr>
            <w:tcW w:w="1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83"/>
        </w:trPr>
        <w:tc>
          <w:tcPr>
            <w:tcW w:w="146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80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65"/>
        </w:trPr>
        <w:tc>
          <w:tcPr>
            <w:tcW w:w="1460" w:type="dxa"/>
            <w:vAlign w:val="bottom"/>
          </w:tcPr>
          <w:p>
            <w:pPr>
              <w:spacing w:after="0"/>
              <w:rPr>
                <w:sz w:val="24"/>
                <w:szCs w:val="24"/>
                <w:color w:val="auto"/>
              </w:rPr>
            </w:pPr>
          </w:p>
        </w:tc>
        <w:tc>
          <w:tcPr>
            <w:tcW w:w="7800" w:type="dxa"/>
            <w:vAlign w:val="bottom"/>
          </w:tcPr>
          <w:p>
            <w:pPr>
              <w:ind w:left="3980"/>
              <w:spacing w:after="0"/>
              <w:rPr>
                <w:sz w:val="20"/>
                <w:szCs w:val="20"/>
                <w:color w:val="auto"/>
              </w:rPr>
            </w:pPr>
            <w:r>
              <w:rPr>
                <w:rFonts w:ascii="Arial" w:cs="Arial" w:eastAsia="Arial" w:hAnsi="Arial"/>
                <w:sz w:val="18"/>
                <w:szCs w:val="18"/>
                <w:color w:val="auto"/>
              </w:rPr>
              <w:t>ii.</w:t>
            </w:r>
          </w:p>
        </w:tc>
        <w:tc>
          <w:tcPr>
            <w:tcW w:w="17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7.13</w:t>
            </w:r>
          </w:p>
        </w:tc>
        <w:tc>
          <w:tcPr>
            <w:tcW w:w="7680" w:type="dxa"/>
            <w:vAlign w:val="bottom"/>
          </w:tcPr>
          <w:p>
            <w:pPr>
              <w:ind w:left="180"/>
              <w:spacing w:after="0"/>
              <w:rPr>
                <w:sz w:val="20"/>
                <w:szCs w:val="20"/>
                <w:color w:val="auto"/>
              </w:rPr>
            </w:pPr>
            <w:r>
              <w:rPr>
                <w:rFonts w:ascii="Arial" w:cs="Arial" w:eastAsia="Arial" w:hAnsi="Arial"/>
                <w:sz w:val="18"/>
                <w:szCs w:val="18"/>
                <w:color w:val="auto"/>
              </w:rPr>
              <w:t>Preferential Collection of Claims Against the Company</w:t>
            </w: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7.14</w:t>
            </w:r>
          </w:p>
        </w:tc>
        <w:tc>
          <w:tcPr>
            <w:tcW w:w="7680" w:type="dxa"/>
            <w:vAlign w:val="bottom"/>
          </w:tcPr>
          <w:p>
            <w:pPr>
              <w:ind w:left="180"/>
              <w:spacing w:after="0"/>
              <w:rPr>
                <w:sz w:val="20"/>
                <w:szCs w:val="20"/>
                <w:color w:val="auto"/>
              </w:rPr>
            </w:pPr>
            <w:r>
              <w:rPr>
                <w:rFonts w:ascii="Arial" w:cs="Arial" w:eastAsia="Arial" w:hAnsi="Arial"/>
                <w:sz w:val="18"/>
                <w:szCs w:val="18"/>
                <w:color w:val="auto"/>
              </w:rPr>
              <w:t>Notice of Default.</w:t>
            </w: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84"/>
        </w:trPr>
        <w:tc>
          <w:tcPr>
            <w:tcW w:w="9220" w:type="dxa"/>
            <w:vAlign w:val="bottom"/>
            <w:gridSpan w:val="3"/>
          </w:tcPr>
          <w:p>
            <w:pPr>
              <w:spacing w:after="0"/>
              <w:rPr>
                <w:sz w:val="20"/>
                <w:szCs w:val="20"/>
                <w:color w:val="auto"/>
              </w:rPr>
            </w:pPr>
            <w:r>
              <w:rPr>
                <w:rFonts w:ascii="Arial" w:cs="Arial" w:eastAsia="Arial" w:hAnsi="Arial"/>
                <w:sz w:val="18"/>
                <w:szCs w:val="18"/>
                <w:color w:val="auto"/>
              </w:rPr>
              <w:t>ARTICLE 8   CONCERNING THE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8.01</w:t>
            </w:r>
          </w:p>
        </w:tc>
        <w:tc>
          <w:tcPr>
            <w:tcW w:w="7680" w:type="dxa"/>
            <w:vAlign w:val="bottom"/>
          </w:tcPr>
          <w:p>
            <w:pPr>
              <w:ind w:left="180"/>
              <w:spacing w:after="0"/>
              <w:rPr>
                <w:sz w:val="20"/>
                <w:szCs w:val="20"/>
                <w:color w:val="auto"/>
              </w:rPr>
            </w:pPr>
            <w:r>
              <w:rPr>
                <w:rFonts w:ascii="Arial" w:cs="Arial" w:eastAsia="Arial" w:hAnsi="Arial"/>
                <w:sz w:val="18"/>
                <w:szCs w:val="18"/>
                <w:color w:val="auto"/>
              </w:rPr>
              <w:t>Evidence of Action by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8.02</w:t>
            </w:r>
          </w:p>
        </w:tc>
        <w:tc>
          <w:tcPr>
            <w:tcW w:w="7680" w:type="dxa"/>
            <w:vAlign w:val="bottom"/>
          </w:tcPr>
          <w:p>
            <w:pPr>
              <w:ind w:left="180"/>
              <w:spacing w:after="0"/>
              <w:rPr>
                <w:sz w:val="20"/>
                <w:szCs w:val="20"/>
                <w:color w:val="auto"/>
              </w:rPr>
            </w:pPr>
            <w:r>
              <w:rPr>
                <w:rFonts w:ascii="Arial" w:cs="Arial" w:eastAsia="Arial" w:hAnsi="Arial"/>
                <w:sz w:val="18"/>
                <w:szCs w:val="18"/>
                <w:color w:val="auto"/>
              </w:rPr>
              <w:t>Proof of Execution by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8.03</w:t>
            </w:r>
          </w:p>
        </w:tc>
        <w:tc>
          <w:tcPr>
            <w:tcW w:w="7680" w:type="dxa"/>
            <w:vAlign w:val="bottom"/>
          </w:tcPr>
          <w:p>
            <w:pPr>
              <w:ind w:left="180"/>
              <w:spacing w:after="0"/>
              <w:rPr>
                <w:sz w:val="20"/>
                <w:szCs w:val="20"/>
                <w:color w:val="auto"/>
              </w:rPr>
            </w:pPr>
            <w:r>
              <w:rPr>
                <w:rFonts w:ascii="Arial" w:cs="Arial" w:eastAsia="Arial" w:hAnsi="Arial"/>
                <w:sz w:val="18"/>
                <w:szCs w:val="18"/>
                <w:color w:val="auto"/>
              </w:rPr>
              <w:t>Who May be Deemed Owners</w:t>
            </w: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8.04</w:t>
            </w:r>
          </w:p>
        </w:tc>
        <w:tc>
          <w:tcPr>
            <w:tcW w:w="7680" w:type="dxa"/>
            <w:vAlign w:val="bottom"/>
          </w:tcPr>
          <w:p>
            <w:pPr>
              <w:ind w:left="180"/>
              <w:spacing w:after="0"/>
              <w:rPr>
                <w:sz w:val="20"/>
                <w:szCs w:val="20"/>
                <w:color w:val="auto"/>
              </w:rPr>
            </w:pPr>
            <w:r>
              <w:rPr>
                <w:rFonts w:ascii="Arial" w:cs="Arial" w:eastAsia="Arial" w:hAnsi="Arial"/>
                <w:sz w:val="18"/>
                <w:szCs w:val="18"/>
                <w:color w:val="auto"/>
              </w:rPr>
              <w:t>Certain Securities Owned by Company Disregarded</w:t>
            </w: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8.05</w:t>
            </w:r>
          </w:p>
        </w:tc>
        <w:tc>
          <w:tcPr>
            <w:tcW w:w="7680" w:type="dxa"/>
            <w:vAlign w:val="bottom"/>
          </w:tcPr>
          <w:p>
            <w:pPr>
              <w:ind w:left="180"/>
              <w:spacing w:after="0"/>
              <w:rPr>
                <w:sz w:val="20"/>
                <w:szCs w:val="20"/>
                <w:color w:val="auto"/>
              </w:rPr>
            </w:pPr>
            <w:r>
              <w:rPr>
                <w:rFonts w:ascii="Arial" w:cs="Arial" w:eastAsia="Arial" w:hAnsi="Arial"/>
                <w:sz w:val="18"/>
                <w:szCs w:val="18"/>
                <w:color w:val="auto"/>
              </w:rPr>
              <w:t>Actions Binding on Future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ARTICLE 9</w:t>
            </w:r>
          </w:p>
        </w:tc>
        <w:tc>
          <w:tcPr>
            <w:tcW w:w="8180" w:type="dxa"/>
            <w:vAlign w:val="bottom"/>
            <w:gridSpan w:val="2"/>
          </w:tcPr>
          <w:p>
            <w:pPr>
              <w:ind w:left="60"/>
              <w:spacing w:after="0"/>
              <w:rPr>
                <w:sz w:val="20"/>
                <w:szCs w:val="20"/>
                <w:color w:val="auto"/>
              </w:rPr>
            </w:pPr>
            <w:r>
              <w:rPr>
                <w:rFonts w:ascii="Arial" w:cs="Arial" w:eastAsia="Arial" w:hAnsi="Arial"/>
                <w:sz w:val="18"/>
                <w:szCs w:val="18"/>
                <w:color w:val="auto"/>
              </w:rPr>
              <w:t>SUPPLEMENTAL INDENTURES</w:t>
            </w:r>
          </w:p>
        </w:tc>
        <w:tc>
          <w:tcPr>
            <w:tcW w:w="1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9.01</w:t>
            </w:r>
          </w:p>
        </w:tc>
        <w:tc>
          <w:tcPr>
            <w:tcW w:w="7680" w:type="dxa"/>
            <w:vAlign w:val="bottom"/>
          </w:tcPr>
          <w:p>
            <w:pPr>
              <w:ind w:left="180"/>
              <w:spacing w:after="0"/>
              <w:rPr>
                <w:sz w:val="20"/>
                <w:szCs w:val="20"/>
                <w:color w:val="auto"/>
              </w:rPr>
            </w:pPr>
            <w:r>
              <w:rPr>
                <w:rFonts w:ascii="Arial" w:cs="Arial" w:eastAsia="Arial" w:hAnsi="Arial"/>
                <w:sz w:val="18"/>
                <w:szCs w:val="18"/>
                <w:color w:val="auto"/>
              </w:rPr>
              <w:t>Supplemental Indentures Without the Consent of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9.02</w:t>
            </w:r>
          </w:p>
        </w:tc>
        <w:tc>
          <w:tcPr>
            <w:tcW w:w="7680" w:type="dxa"/>
            <w:vAlign w:val="bottom"/>
          </w:tcPr>
          <w:p>
            <w:pPr>
              <w:ind w:left="180"/>
              <w:spacing w:after="0"/>
              <w:rPr>
                <w:sz w:val="20"/>
                <w:szCs w:val="20"/>
                <w:color w:val="auto"/>
              </w:rPr>
            </w:pPr>
            <w:r>
              <w:rPr>
                <w:rFonts w:ascii="Arial" w:cs="Arial" w:eastAsia="Arial" w:hAnsi="Arial"/>
                <w:sz w:val="18"/>
                <w:szCs w:val="18"/>
                <w:color w:val="auto"/>
              </w:rPr>
              <w:t>Supplemental Indentures With Consent of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9.03</w:t>
            </w:r>
          </w:p>
        </w:tc>
        <w:tc>
          <w:tcPr>
            <w:tcW w:w="7680" w:type="dxa"/>
            <w:vAlign w:val="bottom"/>
          </w:tcPr>
          <w:p>
            <w:pPr>
              <w:ind w:left="180"/>
              <w:spacing w:after="0"/>
              <w:rPr>
                <w:sz w:val="20"/>
                <w:szCs w:val="20"/>
                <w:color w:val="auto"/>
              </w:rPr>
            </w:pPr>
            <w:r>
              <w:rPr>
                <w:rFonts w:ascii="Arial" w:cs="Arial" w:eastAsia="Arial" w:hAnsi="Arial"/>
                <w:sz w:val="18"/>
                <w:szCs w:val="18"/>
                <w:color w:val="auto"/>
              </w:rPr>
              <w:t>Effect of Supplemental Indentures</w:t>
            </w: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9.04</w:t>
            </w:r>
          </w:p>
        </w:tc>
        <w:tc>
          <w:tcPr>
            <w:tcW w:w="7680" w:type="dxa"/>
            <w:vAlign w:val="bottom"/>
          </w:tcPr>
          <w:p>
            <w:pPr>
              <w:ind w:left="180"/>
              <w:spacing w:after="0"/>
              <w:rPr>
                <w:sz w:val="20"/>
                <w:szCs w:val="20"/>
                <w:color w:val="auto"/>
              </w:rPr>
            </w:pPr>
            <w:r>
              <w:rPr>
                <w:rFonts w:ascii="Arial" w:cs="Arial" w:eastAsia="Arial" w:hAnsi="Arial"/>
                <w:sz w:val="18"/>
                <w:szCs w:val="18"/>
                <w:color w:val="auto"/>
              </w:rPr>
              <w:t>Securities Affected by Supplemental Indentures</w:t>
            </w:r>
          </w:p>
        </w:tc>
        <w:tc>
          <w:tcPr>
            <w:tcW w:w="1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9.05</w:t>
            </w:r>
          </w:p>
        </w:tc>
        <w:tc>
          <w:tcPr>
            <w:tcW w:w="7680" w:type="dxa"/>
            <w:vAlign w:val="bottom"/>
          </w:tcPr>
          <w:p>
            <w:pPr>
              <w:ind w:left="180"/>
              <w:spacing w:after="0"/>
              <w:rPr>
                <w:sz w:val="20"/>
                <w:szCs w:val="20"/>
                <w:color w:val="auto"/>
              </w:rPr>
            </w:pPr>
            <w:r>
              <w:rPr>
                <w:rFonts w:ascii="Arial" w:cs="Arial" w:eastAsia="Arial" w:hAnsi="Arial"/>
                <w:sz w:val="18"/>
                <w:szCs w:val="18"/>
                <w:color w:val="auto"/>
              </w:rPr>
              <w:t>Execution of Supplemental Indentures</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ARTICLE 10</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SUCCESSOR ENTITY</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10.01</w:t>
            </w:r>
          </w:p>
        </w:tc>
        <w:tc>
          <w:tcPr>
            <w:tcW w:w="7680" w:type="dxa"/>
            <w:vAlign w:val="bottom"/>
          </w:tcPr>
          <w:p>
            <w:pPr>
              <w:ind w:left="180"/>
              <w:spacing w:after="0"/>
              <w:rPr>
                <w:sz w:val="20"/>
                <w:szCs w:val="20"/>
                <w:color w:val="auto"/>
              </w:rPr>
            </w:pPr>
            <w:r>
              <w:rPr>
                <w:rFonts w:ascii="Arial" w:cs="Arial" w:eastAsia="Arial" w:hAnsi="Arial"/>
                <w:sz w:val="18"/>
                <w:szCs w:val="18"/>
                <w:color w:val="auto"/>
              </w:rPr>
              <w:t>Company May Consolidate, Etc.</w:t>
            </w: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10.02</w:t>
            </w:r>
          </w:p>
        </w:tc>
        <w:tc>
          <w:tcPr>
            <w:tcW w:w="7680" w:type="dxa"/>
            <w:vAlign w:val="bottom"/>
          </w:tcPr>
          <w:p>
            <w:pPr>
              <w:ind w:left="180"/>
              <w:spacing w:after="0"/>
              <w:rPr>
                <w:sz w:val="20"/>
                <w:szCs w:val="20"/>
                <w:color w:val="auto"/>
              </w:rPr>
            </w:pPr>
            <w:r>
              <w:rPr>
                <w:rFonts w:ascii="Arial" w:cs="Arial" w:eastAsia="Arial" w:hAnsi="Arial"/>
                <w:sz w:val="18"/>
                <w:szCs w:val="18"/>
                <w:color w:val="auto"/>
              </w:rPr>
              <w:t>Successor Entity Substituted</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3"/>
        </w:trPr>
        <w:tc>
          <w:tcPr>
            <w:tcW w:w="9220" w:type="dxa"/>
            <w:vAlign w:val="bottom"/>
            <w:gridSpan w:val="3"/>
          </w:tcPr>
          <w:p>
            <w:pPr>
              <w:spacing w:after="0"/>
              <w:rPr>
                <w:sz w:val="20"/>
                <w:szCs w:val="20"/>
                <w:color w:val="auto"/>
              </w:rPr>
            </w:pPr>
            <w:r>
              <w:rPr>
                <w:rFonts w:ascii="Arial" w:cs="Arial" w:eastAsia="Arial" w:hAnsi="Arial"/>
                <w:sz w:val="18"/>
                <w:szCs w:val="18"/>
                <w:color w:val="auto"/>
              </w:rPr>
              <w:t>ARTICLE 11   SATISFACTION AND DISCHARGE</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11.01</w:t>
            </w:r>
          </w:p>
        </w:tc>
        <w:tc>
          <w:tcPr>
            <w:tcW w:w="7680" w:type="dxa"/>
            <w:vAlign w:val="bottom"/>
          </w:tcPr>
          <w:p>
            <w:pPr>
              <w:ind w:left="180"/>
              <w:spacing w:after="0"/>
              <w:rPr>
                <w:sz w:val="20"/>
                <w:szCs w:val="20"/>
                <w:color w:val="auto"/>
              </w:rPr>
            </w:pPr>
            <w:r>
              <w:rPr>
                <w:rFonts w:ascii="Arial" w:cs="Arial" w:eastAsia="Arial" w:hAnsi="Arial"/>
                <w:sz w:val="18"/>
                <w:szCs w:val="18"/>
                <w:color w:val="auto"/>
              </w:rPr>
              <w:t>Satisfaction and Discharge of Indenture</w:t>
            </w:r>
          </w:p>
        </w:tc>
        <w:tc>
          <w:tcPr>
            <w:tcW w:w="1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4"/>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11.02</w:t>
            </w:r>
          </w:p>
        </w:tc>
        <w:tc>
          <w:tcPr>
            <w:tcW w:w="7680" w:type="dxa"/>
            <w:vAlign w:val="bottom"/>
          </w:tcPr>
          <w:p>
            <w:pPr>
              <w:ind w:left="180"/>
              <w:spacing w:after="0"/>
              <w:rPr>
                <w:sz w:val="20"/>
                <w:szCs w:val="20"/>
                <w:color w:val="auto"/>
              </w:rPr>
            </w:pPr>
            <w:r>
              <w:rPr>
                <w:rFonts w:ascii="Arial" w:cs="Arial" w:eastAsia="Arial" w:hAnsi="Arial"/>
                <w:sz w:val="18"/>
                <w:szCs w:val="18"/>
                <w:color w:val="auto"/>
              </w:rPr>
              <w:t>Discharge of Obligations</w:t>
            </w: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11.03</w:t>
            </w:r>
          </w:p>
        </w:tc>
        <w:tc>
          <w:tcPr>
            <w:tcW w:w="7680" w:type="dxa"/>
            <w:vAlign w:val="bottom"/>
          </w:tcPr>
          <w:p>
            <w:pPr>
              <w:ind w:left="180"/>
              <w:spacing w:after="0"/>
              <w:rPr>
                <w:sz w:val="20"/>
                <w:szCs w:val="20"/>
                <w:color w:val="auto"/>
              </w:rPr>
            </w:pPr>
            <w:r>
              <w:rPr>
                <w:rFonts w:ascii="Arial" w:cs="Arial" w:eastAsia="Arial" w:hAnsi="Arial"/>
                <w:sz w:val="18"/>
                <w:szCs w:val="18"/>
                <w:color w:val="auto"/>
              </w:rPr>
              <w:t>Deposited Moneys to be Held in Trust</w:t>
            </w: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4"/>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11.04</w:t>
            </w:r>
          </w:p>
        </w:tc>
        <w:tc>
          <w:tcPr>
            <w:tcW w:w="7680" w:type="dxa"/>
            <w:vAlign w:val="bottom"/>
          </w:tcPr>
          <w:p>
            <w:pPr>
              <w:ind w:left="180"/>
              <w:spacing w:after="0"/>
              <w:rPr>
                <w:sz w:val="20"/>
                <w:szCs w:val="20"/>
                <w:color w:val="auto"/>
              </w:rPr>
            </w:pPr>
            <w:r>
              <w:rPr>
                <w:rFonts w:ascii="Arial" w:cs="Arial" w:eastAsia="Arial" w:hAnsi="Arial"/>
                <w:sz w:val="18"/>
                <w:szCs w:val="18"/>
                <w:color w:val="auto"/>
              </w:rPr>
              <w:t>Payment of Moneys Held by Paying Agents</w:t>
            </w:r>
          </w:p>
        </w:tc>
        <w:tc>
          <w:tcPr>
            <w:tcW w:w="1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11.05</w:t>
            </w:r>
          </w:p>
        </w:tc>
        <w:tc>
          <w:tcPr>
            <w:tcW w:w="7680" w:type="dxa"/>
            <w:vAlign w:val="bottom"/>
          </w:tcPr>
          <w:p>
            <w:pPr>
              <w:ind w:left="180"/>
              <w:spacing w:after="0"/>
              <w:rPr>
                <w:sz w:val="20"/>
                <w:szCs w:val="20"/>
                <w:color w:val="auto"/>
              </w:rPr>
            </w:pPr>
            <w:r>
              <w:rPr>
                <w:rFonts w:ascii="Arial" w:cs="Arial" w:eastAsia="Arial" w:hAnsi="Arial"/>
                <w:sz w:val="18"/>
                <w:szCs w:val="18"/>
                <w:color w:val="auto"/>
              </w:rPr>
              <w:t>Repayment to Company</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3"/>
        </w:trPr>
        <w:tc>
          <w:tcPr>
            <w:tcW w:w="9220" w:type="dxa"/>
            <w:vAlign w:val="bottom"/>
            <w:gridSpan w:val="3"/>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4"/>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12.01</w:t>
            </w:r>
          </w:p>
        </w:tc>
        <w:tc>
          <w:tcPr>
            <w:tcW w:w="7680" w:type="dxa"/>
            <w:vAlign w:val="bottom"/>
          </w:tcPr>
          <w:p>
            <w:pPr>
              <w:ind w:left="180"/>
              <w:spacing w:after="0"/>
              <w:rPr>
                <w:sz w:val="20"/>
                <w:szCs w:val="20"/>
                <w:color w:val="auto"/>
              </w:rPr>
            </w:pPr>
            <w:r>
              <w:rPr>
                <w:rFonts w:ascii="Arial" w:cs="Arial" w:eastAsia="Arial" w:hAnsi="Arial"/>
                <w:sz w:val="18"/>
                <w:szCs w:val="18"/>
                <w:color w:val="auto"/>
              </w:rPr>
              <w:t>No Recourse</w:t>
            </w:r>
          </w:p>
        </w:tc>
        <w:tc>
          <w:tcPr>
            <w:tcW w:w="1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ARTICLE 13</w:t>
            </w: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MISCELLANEOUS PROVISIONS</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13.01</w:t>
            </w:r>
          </w:p>
        </w:tc>
        <w:tc>
          <w:tcPr>
            <w:tcW w:w="7680" w:type="dxa"/>
            <w:vAlign w:val="bottom"/>
          </w:tcPr>
          <w:p>
            <w:pPr>
              <w:ind w:left="180"/>
              <w:spacing w:after="0"/>
              <w:rPr>
                <w:sz w:val="20"/>
                <w:szCs w:val="20"/>
                <w:color w:val="auto"/>
              </w:rPr>
            </w:pPr>
            <w:r>
              <w:rPr>
                <w:rFonts w:ascii="Arial" w:cs="Arial" w:eastAsia="Arial" w:hAnsi="Arial"/>
                <w:sz w:val="18"/>
                <w:szCs w:val="18"/>
                <w:color w:val="auto"/>
              </w:rPr>
              <w:t>Effect on Successors and Assigns</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4"/>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13.02</w:t>
            </w:r>
          </w:p>
        </w:tc>
        <w:tc>
          <w:tcPr>
            <w:tcW w:w="7680" w:type="dxa"/>
            <w:vAlign w:val="bottom"/>
          </w:tcPr>
          <w:p>
            <w:pPr>
              <w:ind w:left="180"/>
              <w:spacing w:after="0"/>
              <w:rPr>
                <w:sz w:val="20"/>
                <w:szCs w:val="20"/>
                <w:color w:val="auto"/>
              </w:rPr>
            </w:pPr>
            <w:r>
              <w:rPr>
                <w:rFonts w:ascii="Arial" w:cs="Arial" w:eastAsia="Arial" w:hAnsi="Arial"/>
                <w:sz w:val="18"/>
                <w:szCs w:val="18"/>
                <w:color w:val="auto"/>
              </w:rPr>
              <w:t>Actions by Successor</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3"/>
        </w:trPr>
        <w:tc>
          <w:tcPr>
            <w:tcW w:w="1540" w:type="dxa"/>
            <w:vAlign w:val="bottom"/>
            <w:gridSpan w:val="2"/>
          </w:tcPr>
          <w:p>
            <w:pPr>
              <w:ind w:left="360"/>
              <w:spacing w:after="0"/>
              <w:rPr>
                <w:sz w:val="20"/>
                <w:szCs w:val="20"/>
                <w:color w:val="auto"/>
              </w:rPr>
            </w:pPr>
            <w:r>
              <w:rPr>
                <w:rFonts w:ascii="Arial" w:cs="Arial" w:eastAsia="Arial" w:hAnsi="Arial"/>
                <w:sz w:val="18"/>
                <w:szCs w:val="18"/>
                <w:color w:val="auto"/>
              </w:rPr>
              <w:t>Section 13.03</w:t>
            </w:r>
          </w:p>
        </w:tc>
        <w:tc>
          <w:tcPr>
            <w:tcW w:w="7680" w:type="dxa"/>
            <w:vAlign w:val="bottom"/>
          </w:tcPr>
          <w:p>
            <w:pPr>
              <w:ind w:left="180"/>
              <w:spacing w:after="0"/>
              <w:rPr>
                <w:sz w:val="20"/>
                <w:szCs w:val="20"/>
                <w:color w:val="auto"/>
              </w:rPr>
            </w:pPr>
            <w:r>
              <w:rPr>
                <w:rFonts w:ascii="Arial" w:cs="Arial" w:eastAsia="Arial" w:hAnsi="Arial"/>
                <w:sz w:val="18"/>
                <w:szCs w:val="18"/>
                <w:color w:val="auto"/>
              </w:rPr>
              <w:t>Surrender of Company Powers</w:t>
            </w:r>
          </w:p>
        </w:tc>
        <w:tc>
          <w:tcPr>
            <w:tcW w:w="1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5"/>
        </w:trPr>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80" w:type="dxa"/>
            <w:vAlign w:val="bottom"/>
          </w:tcPr>
          <w:p>
            <w:pPr>
              <w:ind w:left="3860"/>
              <w:spacing w:after="0"/>
              <w:rPr>
                <w:sz w:val="20"/>
                <w:szCs w:val="20"/>
                <w:color w:val="auto"/>
              </w:rPr>
            </w:pPr>
            <w:r>
              <w:rPr>
                <w:rFonts w:ascii="Arial" w:cs="Arial" w:eastAsia="Arial" w:hAnsi="Arial"/>
                <w:sz w:val="18"/>
                <w:szCs w:val="18"/>
                <w:color w:val="auto"/>
              </w:rPr>
              <w:t>iii.</w:t>
            </w:r>
          </w:p>
        </w:tc>
        <w:tc>
          <w:tcPr>
            <w:tcW w:w="17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45" w:name="page46"/>
    <w:bookmarkEnd w:id="45"/>
    <w:p>
      <w:pPr>
        <w:jc w:val="center"/>
        <w:ind w:right="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ABLE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86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Section 13.04</w:t>
            </w:r>
          </w:p>
        </w:tc>
        <w:tc>
          <w:tcPr>
            <w:tcW w:w="6560" w:type="dxa"/>
            <w:vAlign w:val="bottom"/>
          </w:tcPr>
          <w:p>
            <w:pPr>
              <w:ind w:left="180"/>
              <w:spacing w:after="0"/>
              <w:rPr>
                <w:sz w:val="20"/>
                <w:szCs w:val="20"/>
                <w:color w:val="auto"/>
              </w:rPr>
            </w:pPr>
            <w:r>
              <w:rPr>
                <w:rFonts w:ascii="Arial" w:cs="Arial" w:eastAsia="Arial" w:hAnsi="Arial"/>
                <w:sz w:val="18"/>
                <w:szCs w:val="18"/>
                <w:color w:val="auto"/>
              </w:rPr>
              <w:t>Notices</w:t>
            </w:r>
          </w:p>
        </w:tc>
        <w:tc>
          <w:tcPr>
            <w:tcW w:w="2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13.05</w:t>
            </w:r>
          </w:p>
        </w:tc>
        <w:tc>
          <w:tcPr>
            <w:tcW w:w="6560" w:type="dxa"/>
            <w:vAlign w:val="bottom"/>
          </w:tcPr>
          <w:p>
            <w:pPr>
              <w:ind w:left="180"/>
              <w:spacing w:after="0"/>
              <w:rPr>
                <w:sz w:val="20"/>
                <w:szCs w:val="20"/>
                <w:color w:val="auto"/>
              </w:rPr>
            </w:pPr>
            <w:r>
              <w:rPr>
                <w:rFonts w:ascii="Arial" w:cs="Arial" w:eastAsia="Arial" w:hAnsi="Arial"/>
                <w:sz w:val="18"/>
                <w:szCs w:val="18"/>
                <w:color w:val="auto"/>
              </w:rPr>
              <w:t>Governing Law; Jury Trial Waiver</w:t>
            </w:r>
          </w:p>
        </w:tc>
        <w:tc>
          <w:tcPr>
            <w:tcW w:w="2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84"/>
        </w:trPr>
        <w:tc>
          <w:tcPr>
            <w:tcW w:w="1180" w:type="dxa"/>
            <w:vAlign w:val="bottom"/>
          </w:tcPr>
          <w:p>
            <w:pPr>
              <w:spacing w:after="0"/>
              <w:rPr>
                <w:sz w:val="20"/>
                <w:szCs w:val="20"/>
                <w:color w:val="auto"/>
              </w:rPr>
            </w:pPr>
            <w:r>
              <w:rPr>
                <w:rFonts w:ascii="Arial" w:cs="Arial" w:eastAsia="Arial" w:hAnsi="Arial"/>
                <w:sz w:val="18"/>
                <w:szCs w:val="18"/>
                <w:color w:val="auto"/>
              </w:rPr>
              <w:t>Section 13.06</w:t>
            </w:r>
          </w:p>
        </w:tc>
        <w:tc>
          <w:tcPr>
            <w:tcW w:w="6560" w:type="dxa"/>
            <w:vAlign w:val="bottom"/>
          </w:tcPr>
          <w:p>
            <w:pPr>
              <w:ind w:left="180"/>
              <w:spacing w:after="0"/>
              <w:rPr>
                <w:sz w:val="20"/>
                <w:szCs w:val="20"/>
                <w:color w:val="auto"/>
              </w:rPr>
            </w:pPr>
            <w:r>
              <w:rPr>
                <w:rFonts w:ascii="Arial" w:cs="Arial" w:eastAsia="Arial" w:hAnsi="Arial"/>
                <w:sz w:val="18"/>
                <w:szCs w:val="18"/>
                <w:color w:val="auto"/>
              </w:rPr>
              <w:t>Treatment of Securities as Debt</w:t>
            </w:r>
          </w:p>
        </w:tc>
        <w:tc>
          <w:tcPr>
            <w:tcW w:w="2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13.07</w:t>
            </w:r>
          </w:p>
        </w:tc>
        <w:tc>
          <w:tcPr>
            <w:tcW w:w="6560" w:type="dxa"/>
            <w:vAlign w:val="bottom"/>
          </w:tcPr>
          <w:p>
            <w:pPr>
              <w:ind w:left="180"/>
              <w:spacing w:after="0"/>
              <w:rPr>
                <w:sz w:val="20"/>
                <w:szCs w:val="20"/>
                <w:color w:val="auto"/>
              </w:rPr>
            </w:pPr>
            <w:r>
              <w:rPr>
                <w:rFonts w:ascii="Arial" w:cs="Arial" w:eastAsia="Arial" w:hAnsi="Arial"/>
                <w:sz w:val="18"/>
                <w:szCs w:val="18"/>
                <w:color w:val="auto"/>
              </w:rPr>
              <w:t>Certificates and Opinions as to Conditions Precedent</w:t>
            </w:r>
          </w:p>
        </w:tc>
        <w:tc>
          <w:tcPr>
            <w:tcW w:w="2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13.08</w:t>
            </w:r>
          </w:p>
        </w:tc>
        <w:tc>
          <w:tcPr>
            <w:tcW w:w="6560" w:type="dxa"/>
            <w:vAlign w:val="bottom"/>
          </w:tcPr>
          <w:p>
            <w:pPr>
              <w:ind w:left="180"/>
              <w:spacing w:after="0"/>
              <w:rPr>
                <w:sz w:val="20"/>
                <w:szCs w:val="20"/>
                <w:color w:val="auto"/>
              </w:rPr>
            </w:pPr>
            <w:r>
              <w:rPr>
                <w:rFonts w:ascii="Arial" w:cs="Arial" w:eastAsia="Arial" w:hAnsi="Arial"/>
                <w:sz w:val="18"/>
                <w:szCs w:val="18"/>
                <w:color w:val="auto"/>
              </w:rPr>
              <w:t>Payments on Business Days</w:t>
            </w:r>
          </w:p>
        </w:tc>
        <w:tc>
          <w:tcPr>
            <w:tcW w:w="2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13.09</w:t>
            </w:r>
          </w:p>
        </w:tc>
        <w:tc>
          <w:tcPr>
            <w:tcW w:w="6560" w:type="dxa"/>
            <w:vAlign w:val="bottom"/>
          </w:tcPr>
          <w:p>
            <w:pPr>
              <w:ind w:left="180"/>
              <w:spacing w:after="0"/>
              <w:rPr>
                <w:sz w:val="20"/>
                <w:szCs w:val="20"/>
                <w:color w:val="auto"/>
              </w:rPr>
            </w:pPr>
            <w:r>
              <w:rPr>
                <w:rFonts w:ascii="Arial" w:cs="Arial" w:eastAsia="Arial" w:hAnsi="Arial"/>
                <w:sz w:val="18"/>
                <w:szCs w:val="18"/>
                <w:color w:val="auto"/>
              </w:rPr>
              <w:t>Conflict with Trust Indenture Act</w:t>
            </w:r>
          </w:p>
        </w:tc>
        <w:tc>
          <w:tcPr>
            <w:tcW w:w="2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13.10</w:t>
            </w:r>
          </w:p>
        </w:tc>
        <w:tc>
          <w:tcPr>
            <w:tcW w:w="656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13.11</w:t>
            </w:r>
          </w:p>
        </w:tc>
        <w:tc>
          <w:tcPr>
            <w:tcW w:w="6560" w:type="dxa"/>
            <w:vAlign w:val="bottom"/>
          </w:tcPr>
          <w:p>
            <w:pPr>
              <w:ind w:left="180"/>
              <w:spacing w:after="0"/>
              <w:rPr>
                <w:sz w:val="20"/>
                <w:szCs w:val="20"/>
                <w:color w:val="auto"/>
              </w:rPr>
            </w:pPr>
            <w:r>
              <w:rPr>
                <w:rFonts w:ascii="Arial" w:cs="Arial" w:eastAsia="Arial" w:hAnsi="Arial"/>
                <w:sz w:val="18"/>
                <w:szCs w:val="18"/>
                <w:color w:val="auto"/>
              </w:rPr>
              <w:t>Separability</w:t>
            </w:r>
          </w:p>
        </w:tc>
        <w:tc>
          <w:tcPr>
            <w:tcW w:w="2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4"/>
        </w:trPr>
        <w:tc>
          <w:tcPr>
            <w:tcW w:w="1180" w:type="dxa"/>
            <w:vAlign w:val="bottom"/>
          </w:tcPr>
          <w:p>
            <w:pPr>
              <w:spacing w:after="0"/>
              <w:rPr>
                <w:sz w:val="20"/>
                <w:szCs w:val="20"/>
                <w:color w:val="auto"/>
              </w:rPr>
            </w:pPr>
            <w:r>
              <w:rPr>
                <w:rFonts w:ascii="Arial" w:cs="Arial" w:eastAsia="Arial" w:hAnsi="Arial"/>
                <w:sz w:val="18"/>
                <w:szCs w:val="18"/>
                <w:color w:val="auto"/>
              </w:rPr>
              <w:t>Section 13.12</w:t>
            </w:r>
          </w:p>
        </w:tc>
        <w:tc>
          <w:tcPr>
            <w:tcW w:w="6560" w:type="dxa"/>
            <w:vAlign w:val="bottom"/>
          </w:tcPr>
          <w:p>
            <w:pPr>
              <w:ind w:left="180"/>
              <w:spacing w:after="0"/>
              <w:rPr>
                <w:sz w:val="20"/>
                <w:szCs w:val="20"/>
                <w:color w:val="auto"/>
              </w:rPr>
            </w:pPr>
            <w:r>
              <w:rPr>
                <w:rFonts w:ascii="Arial" w:cs="Arial" w:eastAsia="Arial" w:hAnsi="Arial"/>
                <w:sz w:val="18"/>
                <w:szCs w:val="18"/>
                <w:color w:val="auto"/>
              </w:rPr>
              <w:t>Compliance Certificates</w:t>
            </w:r>
          </w:p>
        </w:tc>
        <w:tc>
          <w:tcPr>
            <w:tcW w:w="2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13.13</w:t>
            </w:r>
          </w:p>
        </w:tc>
        <w:tc>
          <w:tcPr>
            <w:tcW w:w="6560" w:type="dxa"/>
            <w:vAlign w:val="bottom"/>
          </w:tcPr>
          <w:p>
            <w:pPr>
              <w:ind w:left="180"/>
              <w:spacing w:after="0"/>
              <w:rPr>
                <w:sz w:val="20"/>
                <w:szCs w:val="20"/>
                <w:color w:val="auto"/>
              </w:rPr>
            </w:pPr>
            <w:r>
              <w:rPr>
                <w:rFonts w:ascii="Arial" w:cs="Arial" w:eastAsia="Arial" w:hAnsi="Arial"/>
                <w:sz w:val="18"/>
                <w:szCs w:val="18"/>
                <w:color w:val="auto"/>
              </w:rPr>
              <w:t>Patriot Act</w:t>
            </w:r>
          </w:p>
        </w:tc>
        <w:tc>
          <w:tcPr>
            <w:tcW w:w="2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13.14</w:t>
            </w:r>
          </w:p>
        </w:tc>
        <w:tc>
          <w:tcPr>
            <w:tcW w:w="656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2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3"/>
        </w:trPr>
        <w:tc>
          <w:tcPr>
            <w:tcW w:w="1180" w:type="dxa"/>
            <w:vAlign w:val="bottom"/>
          </w:tcPr>
          <w:p>
            <w:pPr>
              <w:spacing w:after="0"/>
              <w:rPr>
                <w:sz w:val="20"/>
                <w:szCs w:val="20"/>
                <w:color w:val="auto"/>
              </w:rPr>
            </w:pPr>
            <w:r>
              <w:rPr>
                <w:rFonts w:ascii="Arial" w:cs="Arial" w:eastAsia="Arial" w:hAnsi="Arial"/>
                <w:sz w:val="18"/>
                <w:szCs w:val="18"/>
                <w:color w:val="auto"/>
              </w:rPr>
              <w:t>Section 13.12</w:t>
            </w:r>
          </w:p>
        </w:tc>
        <w:tc>
          <w:tcPr>
            <w:tcW w:w="6560" w:type="dxa"/>
            <w:vAlign w:val="bottom"/>
          </w:tcPr>
          <w:p>
            <w:pPr>
              <w:ind w:left="180"/>
              <w:spacing w:after="0"/>
              <w:rPr>
                <w:sz w:val="20"/>
                <w:szCs w:val="20"/>
                <w:color w:val="auto"/>
              </w:rPr>
            </w:pPr>
            <w:r>
              <w:rPr>
                <w:rFonts w:ascii="Arial" w:cs="Arial" w:eastAsia="Arial" w:hAnsi="Arial"/>
                <w:sz w:val="18"/>
                <w:szCs w:val="18"/>
                <w:color w:val="auto"/>
              </w:rPr>
              <w:t>Table of Contents; Headings</w:t>
            </w:r>
          </w:p>
        </w:tc>
        <w:tc>
          <w:tcPr>
            <w:tcW w:w="2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65"/>
        </w:trPr>
        <w:tc>
          <w:tcPr>
            <w:tcW w:w="1180" w:type="dxa"/>
            <w:vAlign w:val="bottom"/>
          </w:tcPr>
          <w:p>
            <w:pPr>
              <w:spacing w:after="0"/>
              <w:rPr>
                <w:sz w:val="24"/>
                <w:szCs w:val="24"/>
                <w:color w:val="auto"/>
              </w:rPr>
            </w:pPr>
          </w:p>
        </w:tc>
        <w:tc>
          <w:tcPr>
            <w:tcW w:w="6560" w:type="dxa"/>
            <w:vAlign w:val="bottom"/>
          </w:tcPr>
          <w:p>
            <w:pPr>
              <w:ind w:left="3880"/>
              <w:spacing w:after="0"/>
              <w:rPr>
                <w:sz w:val="20"/>
                <w:szCs w:val="20"/>
                <w:color w:val="auto"/>
              </w:rPr>
            </w:pPr>
            <w:r>
              <w:rPr>
                <w:rFonts w:ascii="Arial" w:cs="Arial" w:eastAsia="Arial" w:hAnsi="Arial"/>
                <w:sz w:val="18"/>
                <w:szCs w:val="18"/>
                <w:color w:val="auto"/>
              </w:rPr>
              <w:t>iv.</w:t>
            </w:r>
          </w:p>
        </w:tc>
        <w:tc>
          <w:tcPr>
            <w:tcW w:w="2860" w:type="dxa"/>
            <w:vAlign w:val="bottom"/>
          </w:tcPr>
          <w:p>
            <w:pPr>
              <w:spacing w:after="0"/>
              <w:rPr>
                <w:sz w:val="24"/>
                <w:szCs w:val="24"/>
                <w:color w:val="auto"/>
              </w:rPr>
            </w:pPr>
          </w:p>
        </w:tc>
      </w:tr>
    </w:tbl>
    <w:p>
      <w:pPr>
        <w:sectPr>
          <w:pgSz w:w="11900" w:h="16838" w:orient="portrait"/>
          <w:cols w:equalWidth="0" w:num="1">
            <w:col w:w="10600"/>
          </w:cols>
          <w:pgMar w:left="800" w:top="270" w:right="49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NDENTURE</w:t>
      </w:r>
      <w:r>
        <w:rPr>
          <w:rFonts w:ascii="Arial" w:cs="Arial" w:eastAsia="Arial" w:hAnsi="Arial"/>
          <w:sz w:val="18"/>
          <w:szCs w:val="18"/>
          <w:color w:val="auto"/>
        </w:rPr>
        <w:t>, dated as of [●], 20 , among Zoom Video Communications, Inc., a Delaware corporation (the “Company”), and [</w:t>
      </w:r>
      <w:r>
        <w:rPr>
          <w:rFonts w:ascii="Arial" w:cs="Arial" w:eastAsia="Arial" w:hAnsi="Arial"/>
          <w:sz w:val="18"/>
          <w:szCs w:val="18"/>
          <w:b w:val="1"/>
          <w:bCs w:val="1"/>
          <w:color w:val="auto"/>
        </w:rPr>
        <w:t>T</w:t>
      </w:r>
      <w:r>
        <w:rPr>
          <w:rFonts w:ascii="Arial" w:cs="Arial" w:eastAsia="Arial" w:hAnsi="Arial"/>
          <w:sz w:val="14"/>
          <w:szCs w:val="14"/>
          <w:b w:val="1"/>
          <w:bCs w:val="1"/>
          <w:color w:val="auto"/>
        </w:rPr>
        <w:t>RUSTEE</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trustee (the “Trustee”):</w:t>
      </w:r>
    </w:p>
    <w:p>
      <w:pPr>
        <w:spacing w:after="0" w:line="162"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for its lawful corporate purposes, the Company has duly authorized the execution and delivery of this Indenture to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all things necessary to make this Indenture a valid agreement of the Company, in accordance with its terms, have been done.</w:t>
      </w:r>
    </w:p>
    <w:p>
      <w:pPr>
        <w:spacing w:after="0" w:line="237"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premises and the purchase of the Securities by the holders thereof,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as follows for the equal and ratable benefit of the holders of Securities: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Definitions of Terms</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Authenticating Agent</w:t>
      </w:r>
      <w:r>
        <w:rPr>
          <w:rFonts w:ascii="Arial" w:cs="Arial" w:eastAsia="Arial" w:hAnsi="Arial"/>
          <w:sz w:val="18"/>
          <w:szCs w:val="18"/>
          <w:color w:val="auto"/>
        </w:rPr>
        <w:t>” means the Trustee or an authenticating agent with respect to all or any of the series of Securities appointed by the Trustee pursuant to Section 2.10.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sectPr>
      </w:pPr>
    </w:p>
    <w:bookmarkStart w:id="47" w:name="page48"/>
    <w:bookmarkEnd w:id="47"/>
    <w:p>
      <w:pPr>
        <w:ind w:right="1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i w:val="1"/>
          <w:i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46"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Zoom Video Communications, Inc., a corporation duly organized and existing under the laws of the State of Delaware, and, subject to the provisions of Article Ten, shall also include its successors and assigns.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Corporate Trust Office</w:t>
      </w:r>
      <w:r>
        <w:rPr>
          <w:rFonts w:ascii="Arial" w:cs="Arial" w:eastAsia="Arial" w:hAnsi="Arial"/>
          <w:sz w:val="17"/>
          <w:szCs w:val="17"/>
          <w:color w:val="auto"/>
        </w:rPr>
        <w:t>” means the office of the Trustee at which, at any particular time, its corporate trust business shall be principally</w:t>
      </w:r>
    </w:p>
    <w:p>
      <w:pPr>
        <w:spacing w:after="0" w:line="35"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administered, which office at the date hereof is located at</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-19050</wp:posOffset>
            </wp:positionV>
            <wp:extent cx="571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Defaulted Interest</w:t>
      </w:r>
      <w:r>
        <w:rPr>
          <w:rFonts w:ascii="Arial" w:cs="Arial" w:eastAsia="Arial" w:hAnsi="Arial"/>
          <w:sz w:val="18"/>
          <w:szCs w:val="18"/>
          <w:color w:val="auto"/>
        </w:rPr>
        <w:t>” has the meaning set forth in Section 2.03.</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Depositary</w:t>
      </w:r>
      <w:r>
        <w:rPr>
          <w:rFonts w:ascii="Arial" w:cs="Arial" w:eastAsia="Arial" w:hAnsi="Arial"/>
          <w:sz w:val="17"/>
          <w:szCs w:val="17"/>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6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i w:val="1"/>
          <w:iCs w:val="1"/>
          <w:color w:val="auto"/>
        </w:rPr>
        <w:t>given</w:t>
      </w:r>
      <w:r>
        <w:rPr>
          <w:rFonts w:ascii="Arial" w:cs="Arial" w:eastAsia="Arial" w:hAnsi="Arial"/>
          <w:sz w:val="17"/>
          <w:szCs w:val="17"/>
          <w:color w:val="auto"/>
        </w:rPr>
        <w:t>”, “</w:t>
      </w:r>
      <w:r>
        <w:rPr>
          <w:rFonts w:ascii="Arial" w:cs="Arial" w:eastAsia="Arial" w:hAnsi="Arial"/>
          <w:sz w:val="17"/>
          <w:szCs w:val="17"/>
          <w:b w:val="1"/>
          <w:bCs w:val="1"/>
          <w:i w:val="1"/>
          <w:iCs w:val="1"/>
          <w:color w:val="auto"/>
        </w:rPr>
        <w:t>mailed</w:t>
      </w:r>
      <w:r>
        <w:rPr>
          <w:rFonts w:ascii="Arial" w:cs="Arial" w:eastAsia="Arial" w:hAnsi="Arial"/>
          <w:sz w:val="17"/>
          <w:szCs w:val="17"/>
          <w:color w:val="auto"/>
        </w:rPr>
        <w:t>”, “</w:t>
      </w:r>
      <w:r>
        <w:rPr>
          <w:rFonts w:ascii="Arial" w:cs="Arial" w:eastAsia="Arial" w:hAnsi="Arial"/>
          <w:sz w:val="17"/>
          <w:szCs w:val="17"/>
          <w:b w:val="1"/>
          <w:bCs w:val="1"/>
          <w:i w:val="1"/>
          <w:iCs w:val="1"/>
          <w:color w:val="auto"/>
        </w:rPr>
        <w:t>notify</w:t>
      </w:r>
      <w:r>
        <w:rPr>
          <w:rFonts w:ascii="Arial" w:cs="Arial" w:eastAsia="Arial" w:hAnsi="Arial"/>
          <w:sz w:val="17"/>
          <w:szCs w:val="17"/>
          <w:color w:val="auto"/>
        </w:rPr>
        <w:t>” or “</w:t>
      </w:r>
      <w:r>
        <w:rPr>
          <w:rFonts w:ascii="Arial" w:cs="Arial" w:eastAsia="Arial" w:hAnsi="Arial"/>
          <w:sz w:val="17"/>
          <w:szCs w:val="17"/>
          <w:b w:val="1"/>
          <w:bCs w:val="1"/>
          <w:i w:val="1"/>
          <w:iCs w:val="1"/>
          <w:color w:val="auto"/>
        </w:rPr>
        <w:t>sent</w:t>
      </w:r>
      <w:r>
        <w:rPr>
          <w:rFonts w:ascii="Arial" w:cs="Arial" w:eastAsia="Arial" w:hAnsi="Arial"/>
          <w:sz w:val="17"/>
          <w:szCs w:val="17"/>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8" w:name="page49"/>
    <w:bookmarkEnd w:id="48"/>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Obligations</w:t>
      </w:r>
      <w:r>
        <w:rPr>
          <w:rFonts w:ascii="Arial" w:cs="Arial" w:eastAsia="Arial" w:hAnsi="Arial"/>
          <w:sz w:val="17"/>
          <w:szCs w:val="17"/>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77"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herein</w:t>
      </w:r>
      <w:r>
        <w:rPr>
          <w:rFonts w:ascii="Arial" w:cs="Arial" w:eastAsia="Arial" w:hAnsi="Arial"/>
          <w:sz w:val="18"/>
          <w:szCs w:val="18"/>
          <w:color w:val="auto"/>
        </w:rPr>
        <w:t>”, “</w:t>
      </w:r>
      <w:r>
        <w:rPr>
          <w:rFonts w:ascii="Arial" w:cs="Arial" w:eastAsia="Arial" w:hAnsi="Arial"/>
          <w:sz w:val="18"/>
          <w:szCs w:val="18"/>
          <w:b w:val="1"/>
          <w:bCs w:val="1"/>
          <w:i w:val="1"/>
          <w:iCs w:val="1"/>
          <w:color w:val="auto"/>
        </w:rPr>
        <w:t>hereof</w:t>
      </w:r>
      <w:r>
        <w:rPr>
          <w:rFonts w:ascii="Arial" w:cs="Arial" w:eastAsia="Arial" w:hAnsi="Arial"/>
          <w:sz w:val="18"/>
          <w:szCs w:val="18"/>
          <w:b w:val="1"/>
          <w:bCs w:val="1"/>
          <w:color w:val="auto"/>
        </w:rPr>
        <w:t>”</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6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84"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any Officer. Each such certificate shall include the statements provided for in Section 13.07, if and to the extent required by the provisions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9" w:name="page50"/>
    <w:bookmarkEnd w:id="49"/>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Opinion of Counsel</w:t>
      </w:r>
      <w:r>
        <w:rPr>
          <w:rFonts w:ascii="Arial" w:cs="Arial" w:eastAsia="Arial" w:hAnsi="Arial"/>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8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Outstanding</w:t>
      </w:r>
      <w:r>
        <w:rPr>
          <w:rFonts w:ascii="Arial" w:cs="Arial" w:eastAsia="Arial" w:hAnsi="Arial"/>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1"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84"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5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Securityholder</w:t>
      </w:r>
      <w:r>
        <w:rPr>
          <w:rFonts w:ascii="Arial" w:cs="Arial" w:eastAsia="Arial" w:hAnsi="Arial"/>
          <w:sz w:val="17"/>
          <w:szCs w:val="17"/>
          <w:color w:val="auto"/>
        </w:rPr>
        <w:t>”, “</w:t>
      </w:r>
      <w:r>
        <w:rPr>
          <w:rFonts w:ascii="Arial" w:cs="Arial" w:eastAsia="Arial" w:hAnsi="Arial"/>
          <w:sz w:val="17"/>
          <w:szCs w:val="17"/>
          <w:b w:val="1"/>
          <w:bCs w:val="1"/>
          <w:i w:val="1"/>
          <w:iCs w:val="1"/>
          <w:color w:val="auto"/>
        </w:rPr>
        <w:t>holder of Securities</w:t>
      </w:r>
      <w:r>
        <w:rPr>
          <w:rFonts w:ascii="Arial" w:cs="Arial" w:eastAsia="Arial" w:hAnsi="Arial"/>
          <w:sz w:val="17"/>
          <w:szCs w:val="17"/>
          <w:color w:val="auto"/>
        </w:rPr>
        <w:t>”, “</w:t>
      </w:r>
      <w:r>
        <w:rPr>
          <w:rFonts w:ascii="Arial" w:cs="Arial" w:eastAsia="Arial" w:hAnsi="Arial"/>
          <w:sz w:val="17"/>
          <w:szCs w:val="17"/>
          <w:b w:val="1"/>
          <w:bCs w:val="1"/>
          <w:i w:val="1"/>
          <w:i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Security Registrar</w:t>
      </w:r>
      <w:r>
        <w:rPr>
          <w:rFonts w:ascii="Arial" w:cs="Arial" w:eastAsia="Arial" w:hAnsi="Arial"/>
          <w:sz w:val="18"/>
          <w:szCs w:val="18"/>
          <w:color w:val="auto"/>
        </w:rPr>
        <w:t>” shall have the meanings as set forth in Section 2.05.</w:t>
      </w:r>
    </w:p>
    <w:p>
      <w:pPr>
        <w:spacing w:after="0" w:line="225"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57" w:lineRule="exact"/>
        <w:rPr>
          <w:sz w:val="20"/>
          <w:szCs w:val="20"/>
          <w:color w:val="auto"/>
        </w:rPr>
      </w:pPr>
    </w:p>
    <w:p>
      <w:pPr>
        <w:ind w:left="440"/>
        <w:spacing w:after="0"/>
        <w:tabs>
          <w:tab w:leader="none" w:pos="4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means</w:t>
      </w:r>
      <w:r>
        <w:rPr>
          <w:sz w:val="20"/>
          <w:szCs w:val="20"/>
          <w:color w:val="auto"/>
        </w:rPr>
        <w:tab/>
      </w:r>
      <w:r>
        <w:rPr>
          <w:rFonts w:ascii="Arial" w:cs="Arial" w:eastAsia="Arial" w:hAnsi="Arial"/>
          <w:sz w:val="16"/>
          <w:szCs w:val="16"/>
          <w:color w:val="auto"/>
        </w:rPr>
        <w:t>, and, subject to the provisions of Article Seven, shall also include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1078230</wp:posOffset>
            </wp:positionH>
            <wp:positionV relativeFrom="paragraph">
              <wp:posOffset>-10160</wp:posOffset>
            </wp:positionV>
            <wp:extent cx="15138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“U.S.A. Patriot Act” </w:t>
      </w:r>
      <w:r>
        <w:rPr>
          <w:rFonts w:ascii="Arial" w:cs="Arial" w:eastAsia="Arial" w:hAnsi="Arial"/>
          <w:sz w:val="18"/>
          <w:szCs w:val="18"/>
          <w:color w:val="auto"/>
        </w:rPr>
        <w:t>means the Uniting and Strengthening America by Providing Appropriate Tools Required to Intercept and Obstruct Terrorism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of 2001, Pub. L. 107-56, as amended and signed into law October 26, 2001.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TERMS, EXECUTION, REGISTRATION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OF SECURITIES</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color w:val="auto"/>
        </w:rPr>
        <w:t>Designation and Terms of Securities</w:t>
      </w:r>
      <w:r>
        <w:rPr>
          <w:rFonts w:ascii="Arial" w:cs="Arial" w:eastAsia="Arial" w:hAnsi="Arial"/>
          <w:sz w:val="15"/>
          <w:szCs w:val="15"/>
          <w:color w:val="auto"/>
        </w:rPr>
        <w:t>.</w:t>
      </w:r>
    </w:p>
    <w:p>
      <w:pPr>
        <w:spacing w:after="0" w:line="229" w:lineRule="exact"/>
        <w:rPr>
          <w:sz w:val="20"/>
          <w:szCs w:val="20"/>
          <w:color w:val="auto"/>
        </w:rPr>
      </w:pPr>
    </w:p>
    <w:p>
      <w:pPr>
        <w:ind w:right="80" w:firstLine="987"/>
        <w:spacing w:after="0" w:line="257" w:lineRule="auto"/>
        <w:tabs>
          <w:tab w:leader="none" w:pos="137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79" w:lineRule="exact"/>
        <w:rPr>
          <w:rFonts w:ascii="Arial" w:cs="Arial" w:eastAsia="Arial" w:hAnsi="Arial"/>
          <w:sz w:val="18"/>
          <w:szCs w:val="18"/>
          <w:b w:val="1"/>
          <w:bCs w:val="1"/>
          <w:color w:val="auto"/>
        </w:rPr>
      </w:pPr>
    </w:p>
    <w:p>
      <w:pPr>
        <w:ind w:left="1820" w:hanging="392"/>
        <w:spacing w:after="0"/>
        <w:tabs>
          <w:tab w:leader="none" w:pos="1820"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225" w:lineRule="exact"/>
        <w:rPr>
          <w:rFonts w:ascii="Arial" w:cs="Arial" w:eastAsia="Arial" w:hAnsi="Arial"/>
          <w:sz w:val="18"/>
          <w:szCs w:val="18"/>
          <w:b w:val="1"/>
          <w:bCs w:val="1"/>
          <w:color w:val="auto"/>
        </w:rPr>
      </w:pPr>
    </w:p>
    <w:p>
      <w:pPr>
        <w:ind w:firstLine="1428"/>
        <w:spacing w:after="0" w:line="263" w:lineRule="auto"/>
        <w:tabs>
          <w:tab w:leader="none" w:pos="1822" w:val="left"/>
        </w:tabs>
        <w:numPr>
          <w:ilvl w:val="1"/>
          <w:numId w:val="37"/>
        </w:numPr>
        <w:rPr>
          <w:rFonts w:ascii="Arial" w:cs="Arial" w:eastAsia="Arial" w:hAnsi="Arial"/>
          <w:sz w:val="18"/>
          <w:szCs w:val="18"/>
          <w:b w:val="1"/>
          <w:bCs w:val="1"/>
          <w:color w:val="auto"/>
        </w:rPr>
      </w:pPr>
      <w:r>
        <w:rPr>
          <w:rFonts w:ascii="Arial" w:cs="Arial" w:eastAsia="Arial" w:hAnsi="Arial"/>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1" w:name="page52"/>
    <w:bookmarkEnd w:id="51"/>
    <w:p>
      <w:pPr>
        <w:ind w:left="1740" w:hanging="392"/>
        <w:spacing w:after="0"/>
        <w:tabs>
          <w:tab w:leader="none" w:pos="17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maturity date or dates on which the principal of the Securities of the series is payable;</w:t>
      </w:r>
    </w:p>
    <w:p>
      <w:pPr>
        <w:spacing w:after="0" w:line="225" w:lineRule="exact"/>
        <w:rPr>
          <w:rFonts w:ascii="Arial" w:cs="Arial" w:eastAsia="Arial" w:hAnsi="Arial"/>
          <w:sz w:val="18"/>
          <w:szCs w:val="18"/>
          <w:b w:val="1"/>
          <w:bCs w:val="1"/>
          <w:color w:val="auto"/>
        </w:rPr>
      </w:pPr>
    </w:p>
    <w:p>
      <w:pPr>
        <w:ind w:left="1740" w:hanging="392"/>
        <w:spacing w:after="0"/>
        <w:tabs>
          <w:tab w:leader="none" w:pos="17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b w:val="1"/>
          <w:bCs w:val="1"/>
          <w:color w:val="auto"/>
        </w:rPr>
      </w:pPr>
    </w:p>
    <w:p>
      <w:pPr>
        <w:ind w:left="1740" w:hanging="392"/>
        <w:spacing w:after="0"/>
        <w:tabs>
          <w:tab w:leader="none" w:pos="17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applicability of any guarantees;</w:t>
      </w:r>
    </w:p>
    <w:p>
      <w:pPr>
        <w:spacing w:after="0" w:line="225" w:lineRule="exact"/>
        <w:rPr>
          <w:rFonts w:ascii="Arial" w:cs="Arial" w:eastAsia="Arial" w:hAnsi="Arial"/>
          <w:sz w:val="18"/>
          <w:szCs w:val="18"/>
          <w:b w:val="1"/>
          <w:bCs w:val="1"/>
          <w:color w:val="auto"/>
        </w:rPr>
      </w:pPr>
    </w:p>
    <w:p>
      <w:pPr>
        <w:ind w:left="1740" w:hanging="392"/>
        <w:spacing w:after="0"/>
        <w:tabs>
          <w:tab w:leader="none" w:pos="17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whether or not the Securities will be secured or unsecured, and the terms of any secured debt;</w:t>
      </w:r>
    </w:p>
    <w:p>
      <w:pPr>
        <w:spacing w:after="0" w:line="225" w:lineRule="exact"/>
        <w:rPr>
          <w:rFonts w:ascii="Arial" w:cs="Arial" w:eastAsia="Arial" w:hAnsi="Arial"/>
          <w:sz w:val="18"/>
          <w:szCs w:val="18"/>
          <w:b w:val="1"/>
          <w:bCs w:val="1"/>
          <w:color w:val="auto"/>
        </w:rPr>
      </w:pPr>
    </w:p>
    <w:p>
      <w:pPr>
        <w:ind w:left="-80" w:right="280" w:firstLine="1428"/>
        <w:spacing w:after="0" w:line="277" w:lineRule="auto"/>
        <w:tabs>
          <w:tab w:leader="none" w:pos="1742"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whether the Securities rank as senior debt, senior subordinated debt, subordinated debt or any combination thereof, and the terms of any subordination;</w:t>
      </w:r>
    </w:p>
    <w:p>
      <w:pPr>
        <w:spacing w:after="0" w:line="170" w:lineRule="exact"/>
        <w:rPr>
          <w:rFonts w:ascii="Arial" w:cs="Arial" w:eastAsia="Arial" w:hAnsi="Arial"/>
          <w:sz w:val="18"/>
          <w:szCs w:val="18"/>
          <w:b w:val="1"/>
          <w:bCs w:val="1"/>
          <w:color w:val="auto"/>
        </w:rPr>
      </w:pPr>
    </w:p>
    <w:p>
      <w:pPr>
        <w:ind w:left="-80" w:right="40" w:firstLine="1428"/>
        <w:spacing w:after="0" w:line="259" w:lineRule="auto"/>
        <w:tabs>
          <w:tab w:leader="none" w:pos="1742"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86" w:lineRule="exact"/>
        <w:rPr>
          <w:rFonts w:ascii="Arial" w:cs="Arial" w:eastAsia="Arial" w:hAnsi="Arial"/>
          <w:sz w:val="18"/>
          <w:szCs w:val="18"/>
          <w:b w:val="1"/>
          <w:bCs w:val="1"/>
          <w:color w:val="auto"/>
        </w:rPr>
      </w:pPr>
    </w:p>
    <w:p>
      <w:pPr>
        <w:ind w:left="-80" w:firstLine="1428"/>
        <w:spacing w:after="0" w:line="342" w:lineRule="auto"/>
        <w:tabs>
          <w:tab w:leader="none" w:pos="1742"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23" w:lineRule="exact"/>
        <w:rPr>
          <w:rFonts w:ascii="Arial" w:cs="Arial" w:eastAsia="Arial" w:hAnsi="Arial"/>
          <w:sz w:val="16"/>
          <w:szCs w:val="16"/>
          <w:b w:val="1"/>
          <w:bCs w:val="1"/>
          <w:color w:val="auto"/>
        </w:rPr>
      </w:pPr>
    </w:p>
    <w:p>
      <w:pPr>
        <w:ind w:left="1820" w:hanging="472"/>
        <w:spacing w:after="0"/>
        <w:tabs>
          <w:tab w:leader="none" w:pos="18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Company’s right, if any, to defer the payment of interest and the maximum length of any such deferral period;</w:t>
      </w:r>
    </w:p>
    <w:p>
      <w:pPr>
        <w:spacing w:after="0" w:line="225" w:lineRule="exact"/>
        <w:rPr>
          <w:rFonts w:ascii="Arial" w:cs="Arial" w:eastAsia="Arial" w:hAnsi="Arial"/>
          <w:sz w:val="18"/>
          <w:szCs w:val="18"/>
          <w:b w:val="1"/>
          <w:bCs w:val="1"/>
          <w:color w:val="auto"/>
        </w:rPr>
      </w:pPr>
    </w:p>
    <w:p>
      <w:pPr>
        <w:jc w:val="both"/>
        <w:ind w:left="-80" w:right="580" w:firstLine="1428"/>
        <w:spacing w:after="0" w:line="263" w:lineRule="auto"/>
        <w:tabs>
          <w:tab w:leader="none" w:pos="1822"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83" w:lineRule="exact"/>
        <w:rPr>
          <w:rFonts w:ascii="Arial" w:cs="Arial" w:eastAsia="Arial" w:hAnsi="Arial"/>
          <w:sz w:val="18"/>
          <w:szCs w:val="18"/>
          <w:b w:val="1"/>
          <w:bCs w:val="1"/>
          <w:color w:val="auto"/>
        </w:rPr>
      </w:pPr>
    </w:p>
    <w:p>
      <w:pPr>
        <w:ind w:left="-80" w:right="360" w:firstLine="1428"/>
        <w:spacing w:after="0" w:line="263" w:lineRule="auto"/>
        <w:tabs>
          <w:tab w:leader="none" w:pos="1832"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83" w:lineRule="exact"/>
        <w:rPr>
          <w:rFonts w:ascii="Arial" w:cs="Arial" w:eastAsia="Arial" w:hAnsi="Arial"/>
          <w:sz w:val="18"/>
          <w:szCs w:val="18"/>
          <w:b w:val="1"/>
          <w:bCs w:val="1"/>
          <w:color w:val="auto"/>
        </w:rPr>
      </w:pPr>
    </w:p>
    <w:p>
      <w:pPr>
        <w:ind w:left="-80" w:right="240" w:firstLine="1428"/>
        <w:spacing w:after="0" w:line="277" w:lineRule="auto"/>
        <w:tabs>
          <w:tab w:leader="none" w:pos="1832"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the denominations in which the Securities of the series shall be issuable, if other than denominations of one thousand U.S. dollars ($1,000) or any integral multiple thereof;</w:t>
      </w:r>
    </w:p>
    <w:p>
      <w:pPr>
        <w:spacing w:after="0" w:line="170" w:lineRule="exact"/>
        <w:rPr>
          <w:rFonts w:ascii="Arial" w:cs="Arial" w:eastAsia="Arial" w:hAnsi="Arial"/>
          <w:sz w:val="18"/>
          <w:szCs w:val="18"/>
          <w:b w:val="1"/>
          <w:bCs w:val="1"/>
          <w:color w:val="auto"/>
        </w:rPr>
      </w:pPr>
    </w:p>
    <w:p>
      <w:pPr>
        <w:jc w:val="both"/>
        <w:ind w:left="-80" w:right="80" w:firstLine="1428"/>
        <w:spacing w:after="0" w:line="263" w:lineRule="auto"/>
        <w:tabs>
          <w:tab w:leader="none" w:pos="1832"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0"/>
          </w:cols>
          <w:pgMar w:left="520" w:top="274" w:right="519" w:bottom="1440" w:gutter="0" w:footer="0" w:header="0"/>
        </w:sectPr>
      </w:pPr>
    </w:p>
    <w:bookmarkStart w:id="52" w:name="page53"/>
    <w:bookmarkEnd w:id="52"/>
    <w:p>
      <w:pPr>
        <w:ind w:right="60" w:firstLine="1428"/>
        <w:spacing w:after="0" w:line="263" w:lineRule="auto"/>
        <w:tabs>
          <w:tab w:leader="none" w:pos="1912"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83" w:lineRule="exact"/>
        <w:rPr>
          <w:rFonts w:ascii="Arial" w:cs="Arial" w:eastAsia="Arial" w:hAnsi="Arial"/>
          <w:sz w:val="18"/>
          <w:szCs w:val="18"/>
          <w:b w:val="1"/>
          <w:bCs w:val="1"/>
          <w:color w:val="auto"/>
        </w:rPr>
      </w:pPr>
    </w:p>
    <w:p>
      <w:pPr>
        <w:ind w:right="280" w:firstLine="1428"/>
        <w:spacing w:after="0" w:line="257" w:lineRule="auto"/>
        <w:tabs>
          <w:tab w:leader="none" w:pos="1912"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87" w:lineRule="exact"/>
        <w:rPr>
          <w:rFonts w:ascii="Arial" w:cs="Arial" w:eastAsia="Arial" w:hAnsi="Arial"/>
          <w:sz w:val="18"/>
          <w:szCs w:val="18"/>
          <w:b w:val="1"/>
          <w:bCs w:val="1"/>
          <w:color w:val="auto"/>
        </w:rPr>
      </w:pPr>
    </w:p>
    <w:p>
      <w:pPr>
        <w:ind w:right="280" w:firstLine="1428"/>
        <w:spacing w:after="0" w:line="277" w:lineRule="auto"/>
        <w:tabs>
          <w:tab w:leader="none" w:pos="1912"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b w:val="1"/>
          <w:bCs w:val="1"/>
          <w:color w:val="auto"/>
        </w:rPr>
      </w:pPr>
    </w:p>
    <w:p>
      <w:pPr>
        <w:ind w:right="500" w:firstLine="1428"/>
        <w:spacing w:after="0" w:line="277" w:lineRule="auto"/>
        <w:tabs>
          <w:tab w:leader="none" w:pos="1912"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covenants applicable to the series of Securities being issued, including, among others, the consolidation, merger or sale covenant;</w:t>
      </w:r>
    </w:p>
    <w:p>
      <w:pPr>
        <w:spacing w:after="0" w:line="170" w:lineRule="exact"/>
        <w:rPr>
          <w:rFonts w:ascii="Arial" w:cs="Arial" w:eastAsia="Arial" w:hAnsi="Arial"/>
          <w:sz w:val="18"/>
          <w:szCs w:val="18"/>
          <w:b w:val="1"/>
          <w:bCs w:val="1"/>
          <w:color w:val="auto"/>
        </w:rPr>
      </w:pPr>
    </w:p>
    <w:p>
      <w:pPr>
        <w:ind w:right="40" w:firstLine="1428"/>
        <w:spacing w:after="0" w:line="308" w:lineRule="auto"/>
        <w:tabs>
          <w:tab w:leader="none" w:pos="1912"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46" w:lineRule="exact"/>
        <w:rPr>
          <w:rFonts w:ascii="Arial" w:cs="Arial" w:eastAsia="Arial" w:hAnsi="Arial"/>
          <w:sz w:val="17"/>
          <w:szCs w:val="17"/>
          <w:b w:val="1"/>
          <w:bCs w:val="1"/>
          <w:color w:val="auto"/>
        </w:rPr>
      </w:pPr>
    </w:p>
    <w:p>
      <w:pPr>
        <w:ind w:left="1900" w:hanging="472"/>
        <w:spacing w:after="0"/>
        <w:tabs>
          <w:tab w:leader="none" w:pos="190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additions to or changes in or deletions of the provisions relating to covenant defeasance and legal defeasance;</w:t>
      </w:r>
    </w:p>
    <w:p>
      <w:pPr>
        <w:spacing w:after="0" w:line="225" w:lineRule="exact"/>
        <w:rPr>
          <w:rFonts w:ascii="Arial" w:cs="Arial" w:eastAsia="Arial" w:hAnsi="Arial"/>
          <w:sz w:val="18"/>
          <w:szCs w:val="18"/>
          <w:b w:val="1"/>
          <w:bCs w:val="1"/>
          <w:color w:val="auto"/>
        </w:rPr>
      </w:pPr>
    </w:p>
    <w:p>
      <w:pPr>
        <w:ind w:left="1900" w:hanging="472"/>
        <w:spacing w:after="0"/>
        <w:tabs>
          <w:tab w:leader="none" w:pos="190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satisfaction and discharge of this Indenture;</w:t>
      </w:r>
    </w:p>
    <w:p>
      <w:pPr>
        <w:spacing w:after="0" w:line="225" w:lineRule="exact"/>
        <w:rPr>
          <w:rFonts w:ascii="Arial" w:cs="Arial" w:eastAsia="Arial" w:hAnsi="Arial"/>
          <w:sz w:val="18"/>
          <w:szCs w:val="18"/>
          <w:b w:val="1"/>
          <w:bCs w:val="1"/>
          <w:color w:val="auto"/>
        </w:rPr>
      </w:pPr>
    </w:p>
    <w:p>
      <w:pPr>
        <w:ind w:right="260" w:firstLine="1428"/>
        <w:spacing w:after="0" w:line="277" w:lineRule="auto"/>
        <w:tabs>
          <w:tab w:leader="none" w:pos="1912"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additions to or changes in the provisions relating to the modification of this Indenture both with and without the consent of Securityholders of Securities issued under this Indenture;</w:t>
      </w:r>
    </w:p>
    <w:p>
      <w:pPr>
        <w:spacing w:after="0" w:line="170" w:lineRule="exact"/>
        <w:rPr>
          <w:rFonts w:ascii="Arial" w:cs="Arial" w:eastAsia="Arial" w:hAnsi="Arial"/>
          <w:sz w:val="18"/>
          <w:szCs w:val="18"/>
          <w:b w:val="1"/>
          <w:bCs w:val="1"/>
          <w:color w:val="auto"/>
        </w:rPr>
      </w:pPr>
    </w:p>
    <w:p>
      <w:pPr>
        <w:ind w:left="1900" w:hanging="472"/>
        <w:spacing w:after="0"/>
        <w:tabs>
          <w:tab w:leader="none" w:pos="190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the currency of payment of Securities if other than U.S. dollars and the manner of determining the equivalent amount in U.S.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dollars;</w:t>
      </w:r>
    </w:p>
    <w:p>
      <w:pPr>
        <w:spacing w:after="0" w:line="210" w:lineRule="exact"/>
        <w:rPr>
          <w:rFonts w:ascii="Arial" w:cs="Arial" w:eastAsia="Arial" w:hAnsi="Arial"/>
          <w:sz w:val="16"/>
          <w:szCs w:val="16"/>
          <w:b w:val="1"/>
          <w:bCs w:val="1"/>
          <w:color w:val="auto"/>
        </w:rPr>
      </w:pPr>
    </w:p>
    <w:p>
      <w:pPr>
        <w:ind w:right="20" w:firstLine="1428"/>
        <w:spacing w:after="0" w:line="277" w:lineRule="auto"/>
        <w:tabs>
          <w:tab w:leader="none" w:pos="1912"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170" w:lineRule="exact"/>
        <w:rPr>
          <w:rFonts w:ascii="Arial" w:cs="Arial" w:eastAsia="Arial" w:hAnsi="Arial"/>
          <w:sz w:val="18"/>
          <w:szCs w:val="18"/>
          <w:b w:val="1"/>
          <w:bCs w:val="1"/>
          <w:color w:val="auto"/>
        </w:rPr>
      </w:pPr>
    </w:p>
    <w:p>
      <w:pPr>
        <w:ind w:firstLine="1428"/>
        <w:spacing w:after="0" w:line="308" w:lineRule="auto"/>
        <w:tabs>
          <w:tab w:leader="none" w:pos="1912"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3" w:name="page54"/>
    <w:bookmarkEnd w:id="53"/>
    <w:p>
      <w:pPr>
        <w:ind w:left="1900" w:hanging="472"/>
        <w:spacing w:after="0"/>
        <w:tabs>
          <w:tab w:leader="none" w:pos="190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restrictions on transfer, sale or assignment of the Securities of the series; and</w:t>
      </w:r>
    </w:p>
    <w:p>
      <w:pPr>
        <w:spacing w:after="0" w:line="225" w:lineRule="exact"/>
        <w:rPr>
          <w:rFonts w:ascii="Arial" w:cs="Arial" w:eastAsia="Arial" w:hAnsi="Arial"/>
          <w:sz w:val="18"/>
          <w:szCs w:val="18"/>
          <w:b w:val="1"/>
          <w:bCs w:val="1"/>
          <w:color w:val="auto"/>
        </w:rPr>
      </w:pPr>
    </w:p>
    <w:p>
      <w:pPr>
        <w:ind w:right="20" w:firstLine="1428"/>
        <w:spacing w:after="0" w:line="308" w:lineRule="auto"/>
        <w:tabs>
          <w:tab w:leader="none" w:pos="1912"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4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6"/>
          <w:szCs w:val="16"/>
          <w:b w:val="1"/>
          <w:bCs w:val="1"/>
          <w:color w:val="auto"/>
        </w:rPr>
        <w:t>Form of Securities and Trustee’s Certificate</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Denominations: Provisions for Payment</w:t>
      </w:r>
      <w:r>
        <w:rPr>
          <w:rFonts w:ascii="Arial" w:cs="Arial" w:eastAsia="Arial" w:hAnsi="Arial"/>
          <w:sz w:val="16"/>
          <w:szCs w:val="16"/>
          <w:color w:val="auto"/>
        </w:rPr>
        <w:t>.</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54" w:name="page55"/>
    <w:bookmarkEnd w:id="54"/>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41" w:lineRule="exact"/>
        <w:rPr>
          <w:sz w:val="20"/>
          <w:szCs w:val="20"/>
          <w:color w:val="auto"/>
        </w:rPr>
      </w:pPr>
    </w:p>
    <w:p>
      <w:pPr>
        <w:ind w:right="20" w:firstLine="1428"/>
        <w:spacing w:after="0" w:line="286" w:lineRule="auto"/>
        <w:tabs>
          <w:tab w:leader="none" w:pos="1818"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73" w:lineRule="exact"/>
        <w:rPr>
          <w:rFonts w:ascii="Arial" w:cs="Arial" w:eastAsia="Arial" w:hAnsi="Arial"/>
          <w:sz w:val="16"/>
          <w:szCs w:val="16"/>
          <w:b w:val="1"/>
          <w:bCs w:val="1"/>
          <w:color w:val="auto"/>
        </w:rPr>
      </w:pPr>
    </w:p>
    <w:p>
      <w:pPr>
        <w:jc w:val="both"/>
        <w:ind w:firstLine="1428"/>
        <w:spacing w:after="0" w:line="259" w:lineRule="auto"/>
        <w:tabs>
          <w:tab w:leader="none" w:pos="1818"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55" w:name="page56"/>
    <w:bookmarkEnd w:id="5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ind w:right="140" w:firstLine="440"/>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Execution and Authentications</w:t>
      </w:r>
      <w:r>
        <w:rPr>
          <w:rFonts w:ascii="Arial" w:cs="Arial" w:eastAsia="Arial" w:hAnsi="Arial"/>
          <w:sz w:val="16"/>
          <w:szCs w:val="16"/>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92" w:lineRule="exact"/>
        <w:rPr>
          <w:sz w:val="20"/>
          <w:szCs w:val="20"/>
          <w:color w:val="auto"/>
        </w:rPr>
      </w:pPr>
    </w:p>
    <w:p>
      <w:pPr>
        <w:ind w:right="440" w:firstLine="440"/>
        <w:spacing w:after="0" w:line="279" w:lineRule="auto"/>
        <w:rPr>
          <w:sz w:val="20"/>
          <w:szCs w:val="20"/>
          <w:color w:val="auto"/>
        </w:rPr>
      </w:pPr>
      <w:r>
        <w:rPr>
          <w:rFonts w:ascii="Arial" w:cs="Arial" w:eastAsia="Arial" w:hAnsi="Arial"/>
          <w:sz w:val="17"/>
          <w:szCs w:val="17"/>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71"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56" w:name="page57"/>
    <w:bookmarkEnd w:id="56"/>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2.05</w:t>
      </w:r>
      <w:r>
        <w:rPr>
          <w:sz w:val="20"/>
          <w:szCs w:val="20"/>
          <w:color w:val="auto"/>
        </w:rPr>
        <w:tab/>
      </w:r>
      <w:r>
        <w:rPr>
          <w:rFonts w:ascii="Arial" w:cs="Arial" w:eastAsia="Arial" w:hAnsi="Arial"/>
          <w:sz w:val="16"/>
          <w:szCs w:val="16"/>
          <w:b w:val="1"/>
          <w:bCs w:val="1"/>
          <w:color w:val="auto"/>
        </w:rPr>
        <w:t>Registration of Transfer and Exchange</w:t>
      </w:r>
      <w:r>
        <w:rPr>
          <w:rFonts w:ascii="Arial" w:cs="Arial" w:eastAsia="Arial" w:hAnsi="Arial"/>
          <w:sz w:val="16"/>
          <w:szCs w:val="16"/>
          <w:color w:val="auto"/>
        </w:rPr>
        <w:t>.</w:t>
      </w:r>
    </w:p>
    <w:p>
      <w:pPr>
        <w:spacing w:after="0" w:line="229" w:lineRule="exact"/>
        <w:rPr>
          <w:sz w:val="20"/>
          <w:szCs w:val="20"/>
          <w:color w:val="auto"/>
        </w:rPr>
      </w:pPr>
    </w:p>
    <w:p>
      <w:pPr>
        <w:ind w:right="100" w:firstLine="987"/>
        <w:spacing w:after="0" w:line="296" w:lineRule="auto"/>
        <w:tabs>
          <w:tab w:leader="none" w:pos="138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1" w:lineRule="exact"/>
        <w:rPr>
          <w:rFonts w:ascii="Arial" w:cs="Arial" w:eastAsia="Arial" w:hAnsi="Arial"/>
          <w:sz w:val="16"/>
          <w:szCs w:val="16"/>
          <w:b w:val="1"/>
          <w:bCs w:val="1"/>
          <w:color w:val="auto"/>
        </w:rPr>
      </w:pPr>
    </w:p>
    <w:p>
      <w:pPr>
        <w:ind w:right="40" w:firstLine="987"/>
        <w:spacing w:after="0" w:line="257" w:lineRule="auto"/>
        <w:tabs>
          <w:tab w:leader="none" w:pos="1388"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8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initially appoints the Trustee as initial Security Registrar for each series of Securities.</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4" w:lineRule="exact"/>
        <w:rPr>
          <w:sz w:val="20"/>
          <w:szCs w:val="20"/>
          <w:color w:val="auto"/>
        </w:rPr>
      </w:pPr>
    </w:p>
    <w:p>
      <w:pPr>
        <w:ind w:firstLine="987"/>
        <w:spacing w:after="0" w:line="275" w:lineRule="auto"/>
        <w:tabs>
          <w:tab w:leader="none" w:pos="1371"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76" w:lineRule="exact"/>
        <w:rPr>
          <w:rFonts w:ascii="Arial" w:cs="Arial" w:eastAsia="Arial" w:hAnsi="Arial"/>
          <w:sz w:val="17"/>
          <w:szCs w:val="17"/>
          <w:b w:val="1"/>
          <w:bCs w:val="1"/>
          <w:color w:val="auto"/>
        </w:rPr>
      </w:pPr>
    </w:p>
    <w:p>
      <w:pPr>
        <w:jc w:val="both"/>
        <w:ind w:right="40" w:firstLine="987"/>
        <w:spacing w:after="0" w:line="259" w:lineRule="auto"/>
        <w:tabs>
          <w:tab w:leader="none" w:pos="1388"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57" w:name="page58"/>
    <w:bookmarkEnd w:id="57"/>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2.06</w:t>
      </w:r>
      <w:r>
        <w:rPr>
          <w:sz w:val="20"/>
          <w:szCs w:val="20"/>
          <w:color w:val="auto"/>
        </w:rPr>
        <w:tab/>
      </w:r>
      <w:r>
        <w:rPr>
          <w:rFonts w:ascii="Arial" w:cs="Arial" w:eastAsia="Arial" w:hAnsi="Arial"/>
          <w:sz w:val="16"/>
          <w:szCs w:val="16"/>
          <w:b w:val="1"/>
          <w:bCs w:val="1"/>
          <w:color w:val="auto"/>
        </w:rPr>
        <w:t>Temporary Securities.</w:t>
      </w:r>
    </w:p>
    <w:p>
      <w:pPr>
        <w:spacing w:after="0" w:line="229"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6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2.07</w:t>
      </w:r>
      <w:r>
        <w:rPr>
          <w:sz w:val="20"/>
          <w:szCs w:val="20"/>
          <w:color w:val="auto"/>
        </w:rPr>
        <w:tab/>
      </w:r>
      <w:r>
        <w:rPr>
          <w:rFonts w:ascii="Arial" w:cs="Arial" w:eastAsia="Arial" w:hAnsi="Arial"/>
          <w:sz w:val="16"/>
          <w:szCs w:val="16"/>
          <w:b w:val="1"/>
          <w:bCs w:val="1"/>
          <w:color w:val="auto"/>
        </w:rPr>
        <w:t>Mutilated, Destroyed, Lost or Stolen Securities</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58" w:name="page59"/>
    <w:bookmarkEnd w:id="58"/>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9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6"/>
          <w:szCs w:val="16"/>
          <w:b w:val="1"/>
          <w:bCs w:val="1"/>
          <w:color w:val="auto"/>
        </w:rPr>
        <w:t>Cancellation</w:t>
      </w:r>
      <w:r>
        <w:rPr>
          <w:rFonts w:ascii="Arial" w:cs="Arial" w:eastAsia="Arial" w:hAnsi="Arial"/>
          <w:sz w:val="16"/>
          <w:szCs w:val="16"/>
          <w:color w:val="auto"/>
        </w:rPr>
        <w:t>.</w:t>
      </w:r>
    </w:p>
    <w:p>
      <w:pPr>
        <w:spacing w:after="0" w:line="229"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6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Benefits of Indenture</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59" w:name="page60"/>
    <w:bookmarkEnd w:id="59"/>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2.10</w:t>
      </w:r>
      <w:r>
        <w:rPr>
          <w:sz w:val="20"/>
          <w:szCs w:val="20"/>
          <w:color w:val="auto"/>
        </w:rPr>
        <w:tab/>
      </w:r>
      <w:r>
        <w:rPr>
          <w:rFonts w:ascii="Arial" w:cs="Arial" w:eastAsia="Arial" w:hAnsi="Arial"/>
          <w:sz w:val="16"/>
          <w:szCs w:val="16"/>
          <w:b w:val="1"/>
          <w:bCs w:val="1"/>
          <w:color w:val="auto"/>
        </w:rPr>
        <w:t>Authenticating Agent</w:t>
      </w:r>
      <w:r>
        <w:rPr>
          <w:rFonts w:ascii="Arial" w:cs="Arial" w:eastAsia="Arial" w:hAnsi="Arial"/>
          <w:sz w:val="16"/>
          <w:szCs w:val="16"/>
          <w:color w:val="auto"/>
        </w:rPr>
        <w:t>.</w:t>
      </w:r>
    </w:p>
    <w:p>
      <w:pPr>
        <w:spacing w:after="0" w:line="229"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6"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88"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Global Securities</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72" w:lineRule="auto"/>
        <w:tabs>
          <w:tab w:leader="none" w:pos="1381"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b w:val="1"/>
          <w:bCs w:val="1"/>
          <w:color w:val="auto"/>
        </w:rPr>
      </w:pPr>
    </w:p>
    <w:p>
      <w:pPr>
        <w:ind w:right="20" w:firstLine="987"/>
        <w:spacing w:after="0" w:line="263" w:lineRule="auto"/>
        <w:tabs>
          <w:tab w:leader="none" w:pos="1391"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60" w:name="page61"/>
    <w:bookmarkEnd w:id="60"/>
    <w:p>
      <w:pPr>
        <w:ind w:firstLine="987"/>
        <w:spacing w:after="0" w:line="267" w:lineRule="auto"/>
        <w:tabs>
          <w:tab w:leader="none" w:pos="1371"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8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CUSIP Numbers</w:t>
      </w:r>
      <w:r>
        <w:rPr>
          <w:rFonts w:ascii="Arial" w:cs="Arial" w:eastAsia="Arial" w:hAnsi="Arial"/>
          <w:sz w:val="16"/>
          <w:szCs w:val="16"/>
          <w:color w:val="auto"/>
        </w:rPr>
        <w:t>.</w:t>
      </w:r>
    </w:p>
    <w:p>
      <w:pPr>
        <w:spacing w:after="0" w:line="22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Redemption</w:t>
      </w:r>
      <w:r>
        <w:rPr>
          <w:rFonts w:ascii="Arial" w:cs="Arial" w:eastAsia="Arial" w:hAnsi="Arial"/>
          <w:sz w:val="16"/>
          <w:szCs w:val="16"/>
          <w:color w:val="auto"/>
        </w:rPr>
        <w:t>.</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6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Notice of Redemption</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69" w:lineRule="auto"/>
        <w:tabs>
          <w:tab w:leader="none" w:pos="1381"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2"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84" w:lineRule="exact"/>
        <w:rPr>
          <w:sz w:val="20"/>
          <w:szCs w:val="20"/>
          <w:color w:val="auto"/>
        </w:rPr>
      </w:pPr>
    </w:p>
    <w:p>
      <w:pPr>
        <w:ind w:right="380" w:firstLine="987"/>
        <w:spacing w:after="0" w:line="277" w:lineRule="auto"/>
        <w:tabs>
          <w:tab w:leader="none" w:pos="1391"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If less than all the Securities of a series are to be redeemed, the Company shall give the Trustee at least 45 days’ notice (unless a shorter notice shall be satisfactory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62" w:name="page63"/>
    <w:bookmarkEnd w:id="6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6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Payment Upon Redemption</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90" w:lineRule="auto"/>
        <w:tabs>
          <w:tab w:leader="none" w:pos="1381"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5" w:lineRule="exact"/>
        <w:rPr>
          <w:rFonts w:ascii="Arial" w:cs="Arial" w:eastAsia="Arial" w:hAnsi="Arial"/>
          <w:sz w:val="16"/>
          <w:szCs w:val="16"/>
          <w:b w:val="1"/>
          <w:bCs w:val="1"/>
          <w:color w:val="auto"/>
        </w:rPr>
      </w:pPr>
    </w:p>
    <w:p>
      <w:pPr>
        <w:ind w:right="40" w:firstLine="987"/>
        <w:spacing w:after="0" w:line="311" w:lineRule="auto"/>
        <w:tabs>
          <w:tab w:leader="none" w:pos="1391"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4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6"/>
          <w:szCs w:val="16"/>
          <w:b w:val="1"/>
          <w:bCs w:val="1"/>
          <w:color w:val="auto"/>
        </w:rPr>
        <w:t>Sinking Fund</w:t>
      </w:r>
      <w:r>
        <w:rPr>
          <w:rFonts w:ascii="Arial" w:cs="Arial" w:eastAsia="Arial" w:hAnsi="Arial"/>
          <w:sz w:val="16"/>
          <w:szCs w:val="16"/>
          <w:color w:val="auto"/>
        </w:rPr>
        <w:t>.</w:t>
      </w:r>
    </w:p>
    <w:p>
      <w:pPr>
        <w:spacing w:after="0" w:line="229"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63" w:name="page64"/>
    <w:bookmarkEnd w:id="63"/>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6"/>
          <w:szCs w:val="16"/>
          <w:b w:val="1"/>
          <w:bCs w:val="1"/>
          <w:color w:val="auto"/>
        </w:rPr>
        <w:t>Satisfaction of Sinking Fund Payments with Securities</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6"/>
          <w:szCs w:val="16"/>
          <w:b w:val="1"/>
          <w:bCs w:val="1"/>
          <w:color w:val="auto"/>
        </w:rPr>
        <w:t>Redemption of Securities for Sinking Fund</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6"/>
          <w:szCs w:val="16"/>
          <w:b w:val="1"/>
          <w:bCs w:val="1"/>
          <w:color w:val="auto"/>
        </w:rPr>
        <w:t>Payment of Principal, Premium and Interest</w:t>
      </w:r>
      <w:r>
        <w:rPr>
          <w:rFonts w:ascii="Arial" w:cs="Arial" w:eastAsia="Arial" w:hAnsi="Arial"/>
          <w:sz w:val="16"/>
          <w:szCs w:val="16"/>
          <w:color w:val="auto"/>
        </w:rPr>
        <w:t>.</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4" w:name="page65"/>
    <w:bookmarkEnd w:id="64"/>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5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4.02</w:t>
      </w:r>
      <w:r>
        <w:rPr>
          <w:sz w:val="20"/>
          <w:szCs w:val="20"/>
          <w:color w:val="auto"/>
        </w:rPr>
        <w:tab/>
      </w:r>
      <w:r>
        <w:rPr>
          <w:rFonts w:ascii="Arial" w:cs="Arial" w:eastAsia="Arial" w:hAnsi="Arial"/>
          <w:sz w:val="16"/>
          <w:szCs w:val="16"/>
          <w:b w:val="1"/>
          <w:bCs w:val="1"/>
          <w:color w:val="auto"/>
        </w:rPr>
        <w:t>Maintenance of Office or Agency</w:t>
      </w:r>
      <w:r>
        <w:rPr>
          <w:rFonts w:ascii="Arial" w:cs="Arial" w:eastAsia="Arial" w:hAnsi="Arial"/>
          <w:sz w:val="16"/>
          <w:szCs w:val="16"/>
          <w:color w:val="auto"/>
        </w:rPr>
        <w:t>.</w:t>
      </w:r>
    </w:p>
    <w:p>
      <w:pPr>
        <w:spacing w:after="0" w:line="229"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6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4.03</w:t>
      </w:r>
      <w:r>
        <w:rPr>
          <w:sz w:val="20"/>
          <w:szCs w:val="20"/>
          <w:color w:val="auto"/>
        </w:rPr>
        <w:tab/>
      </w:r>
      <w:r>
        <w:rPr>
          <w:rFonts w:ascii="Arial" w:cs="Arial" w:eastAsia="Arial" w:hAnsi="Arial"/>
          <w:sz w:val="15"/>
          <w:szCs w:val="15"/>
          <w:b w:val="1"/>
          <w:bCs w:val="1"/>
          <w:color w:val="auto"/>
        </w:rPr>
        <w:t>Paying Agents</w:t>
      </w:r>
      <w:r>
        <w:rPr>
          <w:rFonts w:ascii="Arial" w:cs="Arial" w:eastAsia="Arial" w:hAnsi="Arial"/>
          <w:sz w:val="15"/>
          <w:szCs w:val="15"/>
          <w:color w:val="auto"/>
        </w:rPr>
        <w:t>.</w:t>
      </w:r>
    </w:p>
    <w:p>
      <w:pPr>
        <w:spacing w:after="0" w:line="229" w:lineRule="exact"/>
        <w:rPr>
          <w:sz w:val="20"/>
          <w:szCs w:val="20"/>
          <w:color w:val="auto"/>
        </w:rPr>
      </w:pPr>
    </w:p>
    <w:p>
      <w:pPr>
        <w:ind w:right="220" w:firstLine="987"/>
        <w:spacing w:after="0" w:line="263" w:lineRule="auto"/>
        <w:tabs>
          <w:tab w:leader="none" w:pos="1381"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5" w:lineRule="exact"/>
        <w:rPr>
          <w:rFonts w:ascii="Arial" w:cs="Arial" w:eastAsia="Arial" w:hAnsi="Arial"/>
          <w:sz w:val="18"/>
          <w:szCs w:val="18"/>
          <w:b w:val="1"/>
          <w:bCs w:val="1"/>
          <w:color w:val="auto"/>
        </w:rPr>
      </w:pPr>
    </w:p>
    <w:p>
      <w:pPr>
        <w:ind w:firstLine="1428"/>
        <w:spacing w:after="0" w:line="263" w:lineRule="auto"/>
        <w:tabs>
          <w:tab w:leader="none" w:pos="1822"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3" w:lineRule="exact"/>
        <w:rPr>
          <w:rFonts w:ascii="Arial" w:cs="Arial" w:eastAsia="Arial" w:hAnsi="Arial"/>
          <w:sz w:val="18"/>
          <w:szCs w:val="18"/>
          <w:b w:val="1"/>
          <w:bCs w:val="1"/>
          <w:color w:val="auto"/>
        </w:rPr>
      </w:pPr>
    </w:p>
    <w:p>
      <w:pPr>
        <w:ind w:right="440" w:firstLine="1428"/>
        <w:spacing w:after="0" w:line="308" w:lineRule="auto"/>
        <w:tabs>
          <w:tab w:leader="none" w:pos="1822" w:val="left"/>
        </w:tabs>
        <w:numPr>
          <w:ilvl w:val="1"/>
          <w:numId w:val="49"/>
        </w:numPr>
        <w:rPr>
          <w:rFonts w:ascii="Arial" w:cs="Arial" w:eastAsia="Arial" w:hAnsi="Arial"/>
          <w:sz w:val="17"/>
          <w:szCs w:val="17"/>
          <w:b w:val="1"/>
          <w:bCs w:val="1"/>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b w:val="1"/>
          <w:bCs w:val="1"/>
          <w:color w:val="auto"/>
        </w:rPr>
      </w:pPr>
    </w:p>
    <w:p>
      <w:pPr>
        <w:ind w:right="440" w:firstLine="1428"/>
        <w:spacing w:after="0" w:line="277" w:lineRule="auto"/>
        <w:tabs>
          <w:tab w:leader="none" w:pos="1822" w:val="left"/>
        </w:tabs>
        <w:numPr>
          <w:ilvl w:val="1"/>
          <w:numId w:val="49"/>
        </w:numPr>
        <w:rPr>
          <w:rFonts w:ascii="Arial" w:cs="Arial" w:eastAsia="Arial" w:hAnsi="Arial"/>
          <w:sz w:val="18"/>
          <w:szCs w:val="18"/>
          <w:b w:val="1"/>
          <w:bCs w:val="1"/>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65" w:name="page66"/>
    <w:bookmarkEnd w:id="65"/>
    <w:p>
      <w:pPr>
        <w:ind w:left="1820" w:hanging="392"/>
        <w:spacing w:after="0"/>
        <w:tabs>
          <w:tab w:leader="none" w:pos="182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it will perform all other duties of paying agent as set forth in this Indenture.</w:t>
      </w:r>
    </w:p>
    <w:p>
      <w:pPr>
        <w:spacing w:after="0" w:line="225" w:lineRule="exact"/>
        <w:rPr>
          <w:rFonts w:ascii="Arial" w:cs="Arial" w:eastAsia="Arial" w:hAnsi="Arial"/>
          <w:sz w:val="18"/>
          <w:szCs w:val="18"/>
          <w:b w:val="1"/>
          <w:bCs w:val="1"/>
          <w:color w:val="auto"/>
        </w:rPr>
      </w:pPr>
    </w:p>
    <w:p>
      <w:pPr>
        <w:ind w:right="20" w:firstLine="987"/>
        <w:spacing w:after="0" w:line="290" w:lineRule="auto"/>
        <w:tabs>
          <w:tab w:leader="none" w:pos="1391"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65" w:lineRule="exact"/>
        <w:rPr>
          <w:rFonts w:ascii="Arial" w:cs="Arial" w:eastAsia="Arial" w:hAnsi="Arial"/>
          <w:sz w:val="16"/>
          <w:szCs w:val="16"/>
          <w:b w:val="1"/>
          <w:bCs w:val="1"/>
          <w:color w:val="auto"/>
        </w:rPr>
      </w:pPr>
    </w:p>
    <w:p>
      <w:pPr>
        <w:ind w:firstLine="987"/>
        <w:spacing w:after="0" w:line="255" w:lineRule="auto"/>
        <w:tabs>
          <w:tab w:leader="none" w:pos="1371"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4.04</w:t>
      </w:r>
      <w:r>
        <w:rPr>
          <w:sz w:val="20"/>
          <w:szCs w:val="20"/>
          <w:color w:val="auto"/>
        </w:rPr>
        <w:tab/>
      </w:r>
      <w:r>
        <w:rPr>
          <w:rFonts w:ascii="Arial" w:cs="Arial" w:eastAsia="Arial" w:hAnsi="Arial"/>
          <w:sz w:val="16"/>
          <w:szCs w:val="16"/>
          <w:b w:val="1"/>
          <w:bCs w:val="1"/>
          <w:color w:val="auto"/>
        </w:rPr>
        <w:t>Appointment to Fill Vacancy in Office of Trustee</w:t>
      </w:r>
      <w:r>
        <w:rPr>
          <w:rFonts w:ascii="Arial" w:cs="Arial" w:eastAsia="Arial" w:hAnsi="Arial"/>
          <w:sz w:val="16"/>
          <w:szCs w:val="16"/>
          <w:color w:val="auto"/>
        </w:rPr>
        <w:t>.</w:t>
      </w:r>
    </w:p>
    <w:p>
      <w:pPr>
        <w:spacing w:after="0" w:line="229"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 THE COMPANY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0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Company to Furnish Trustee Names and Addresses of Securityholders</w:t>
      </w:r>
      <w:r>
        <w:rPr>
          <w:rFonts w:ascii="Arial" w:cs="Arial" w:eastAsia="Arial" w:hAnsi="Arial"/>
          <w:sz w:val="16"/>
          <w:szCs w:val="16"/>
          <w:color w:val="auto"/>
        </w:rPr>
        <w:t>.</w:t>
      </w:r>
    </w:p>
    <w:p>
      <w:pPr>
        <w:spacing w:after="0" w:line="229" w:lineRule="exact"/>
        <w:rPr>
          <w:sz w:val="20"/>
          <w:szCs w:val="20"/>
          <w:color w:val="auto"/>
        </w:rPr>
      </w:pPr>
    </w:p>
    <w:p>
      <w:pPr>
        <w:jc w:val="both"/>
        <w:ind w:right="80" w:firstLine="440"/>
        <w:spacing w:after="0" w:line="279" w:lineRule="auto"/>
        <w:rPr>
          <w:sz w:val="20"/>
          <w:szCs w:val="20"/>
          <w:color w:val="auto"/>
        </w:rPr>
      </w:pPr>
      <w:r>
        <w:rPr>
          <w:rFonts w:ascii="Arial" w:cs="Arial" w:eastAsia="Arial" w:hAnsi="Arial"/>
          <w:sz w:val="17"/>
          <w:szCs w:val="17"/>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6"/>
          <w:szCs w:val="16"/>
          <w:b w:val="1"/>
          <w:bCs w:val="1"/>
          <w:color w:val="auto"/>
        </w:rPr>
        <w:t>Preservation Of Information; Communications With Securityholders</w:t>
      </w:r>
      <w:r>
        <w:rPr>
          <w:rFonts w:ascii="Arial" w:cs="Arial" w:eastAsia="Arial" w:hAnsi="Arial"/>
          <w:sz w:val="16"/>
          <w:szCs w:val="16"/>
          <w:color w:val="auto"/>
        </w:rPr>
        <w:t>.</w:t>
      </w:r>
    </w:p>
    <w:p>
      <w:pPr>
        <w:spacing w:after="0" w:line="229" w:lineRule="exact"/>
        <w:rPr>
          <w:sz w:val="20"/>
          <w:szCs w:val="20"/>
          <w:color w:val="auto"/>
        </w:rPr>
      </w:pPr>
    </w:p>
    <w:p>
      <w:pPr>
        <w:ind w:right="400" w:firstLine="987"/>
        <w:spacing w:after="0" w:line="286" w:lineRule="auto"/>
        <w:tabs>
          <w:tab w:leader="none" w:pos="1378"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65" w:lineRule="exact"/>
        <w:rPr>
          <w:rFonts w:ascii="Arial" w:cs="Arial" w:eastAsia="Arial" w:hAnsi="Arial"/>
          <w:sz w:val="17"/>
          <w:szCs w:val="17"/>
          <w:b w:val="1"/>
          <w:bCs w:val="1"/>
          <w:color w:val="auto"/>
        </w:rPr>
      </w:pPr>
    </w:p>
    <w:p>
      <w:pPr>
        <w:ind w:left="1380" w:hanging="393"/>
        <w:spacing w:after="0"/>
        <w:tabs>
          <w:tab w:leader="none" w:pos="138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b w:val="1"/>
          <w:bCs w:val="1"/>
          <w:color w:val="auto"/>
        </w:rPr>
      </w:pPr>
    </w:p>
    <w:p>
      <w:pPr>
        <w:ind w:right="180" w:firstLine="987"/>
        <w:spacing w:after="0" w:line="286" w:lineRule="auto"/>
        <w:tabs>
          <w:tab w:leader="none" w:pos="1371" w:val="left"/>
        </w:tabs>
        <w:numPr>
          <w:ilvl w:val="0"/>
          <w:numId w:val="52"/>
        </w:numPr>
        <w:rPr>
          <w:rFonts w:ascii="Arial" w:cs="Arial" w:eastAsia="Arial" w:hAnsi="Arial"/>
          <w:sz w:val="17"/>
          <w:szCs w:val="17"/>
          <w:b w:val="1"/>
          <w:bCs w:val="1"/>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5.03</w:t>
      </w:r>
      <w:r>
        <w:rPr>
          <w:sz w:val="20"/>
          <w:szCs w:val="20"/>
          <w:color w:val="auto"/>
        </w:rPr>
        <w:tab/>
      </w:r>
      <w:r>
        <w:rPr>
          <w:rFonts w:ascii="Arial" w:cs="Arial" w:eastAsia="Arial" w:hAnsi="Arial"/>
          <w:sz w:val="16"/>
          <w:szCs w:val="16"/>
          <w:b w:val="1"/>
          <w:bCs w:val="1"/>
          <w:color w:val="auto"/>
        </w:rPr>
        <w:t>Reports by the Company</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69" w:lineRule="auto"/>
        <w:tabs>
          <w:tab w:leader="none" w:pos="1378"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85" w:lineRule="exact"/>
        <w:rPr>
          <w:rFonts w:ascii="Arial" w:cs="Arial" w:eastAsia="Arial" w:hAnsi="Arial"/>
          <w:sz w:val="17"/>
          <w:szCs w:val="17"/>
          <w:b w:val="1"/>
          <w:bCs w:val="1"/>
          <w:color w:val="auto"/>
        </w:rPr>
      </w:pPr>
    </w:p>
    <w:p>
      <w:pPr>
        <w:ind w:right="40" w:firstLine="987"/>
        <w:spacing w:after="0" w:line="279" w:lineRule="auto"/>
        <w:tabs>
          <w:tab w:leader="none" w:pos="1391"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67" w:name="page68"/>
    <w:bookmarkEnd w:id="67"/>
    <w:p>
      <w:pPr>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4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color w:val="auto"/>
        </w:rPr>
        <w:t>Reports by the Trustee</w:t>
      </w:r>
      <w:r>
        <w:rPr>
          <w:rFonts w:ascii="Arial" w:cs="Arial" w:eastAsia="Arial" w:hAnsi="Arial"/>
          <w:sz w:val="16"/>
          <w:szCs w:val="16"/>
          <w:color w:val="auto"/>
        </w:rPr>
        <w:t>.</w:t>
      </w:r>
    </w:p>
    <w:p>
      <w:pPr>
        <w:spacing w:after="0" w:line="229" w:lineRule="exact"/>
        <w:rPr>
          <w:sz w:val="20"/>
          <w:szCs w:val="20"/>
          <w:color w:val="auto"/>
        </w:rPr>
      </w:pPr>
    </w:p>
    <w:p>
      <w:pPr>
        <w:ind w:right="520" w:firstLine="987"/>
        <w:spacing w:after="0" w:line="277" w:lineRule="auto"/>
        <w:tabs>
          <w:tab w:leader="none" w:pos="1381"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70" w:lineRule="exact"/>
        <w:rPr>
          <w:rFonts w:ascii="Arial" w:cs="Arial" w:eastAsia="Arial" w:hAnsi="Arial"/>
          <w:sz w:val="18"/>
          <w:szCs w:val="18"/>
          <w:b w:val="1"/>
          <w:bCs w:val="1"/>
          <w:color w:val="auto"/>
        </w:rPr>
      </w:pPr>
    </w:p>
    <w:p>
      <w:pPr>
        <w:ind w:left="1380" w:hanging="393"/>
        <w:spacing w:after="0"/>
        <w:tabs>
          <w:tab w:leader="none" w:pos="138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Trustee shall comply with Section 313(b) and 313(c) of the Trust Indenture Act.</w:t>
      </w:r>
    </w:p>
    <w:p>
      <w:pPr>
        <w:spacing w:after="0" w:line="225" w:lineRule="exact"/>
        <w:rPr>
          <w:rFonts w:ascii="Arial" w:cs="Arial" w:eastAsia="Arial" w:hAnsi="Arial"/>
          <w:sz w:val="18"/>
          <w:szCs w:val="18"/>
          <w:b w:val="1"/>
          <w:bCs w:val="1"/>
          <w:color w:val="auto"/>
        </w:rPr>
      </w:pPr>
    </w:p>
    <w:p>
      <w:pPr>
        <w:ind w:right="80" w:firstLine="987"/>
        <w:spacing w:after="0" w:line="263" w:lineRule="auto"/>
        <w:tabs>
          <w:tab w:leader="none" w:pos="1361"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REMEDIES OF THE TRUSTEE AND SECURITYHOLDERS ON EVENT OF DEFAULT</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w:t>
      </w:r>
    </w:p>
    <w:p>
      <w:pPr>
        <w:spacing w:after="0" w:line="229" w:lineRule="exact"/>
        <w:rPr>
          <w:sz w:val="20"/>
          <w:szCs w:val="20"/>
          <w:color w:val="auto"/>
        </w:rPr>
      </w:pPr>
    </w:p>
    <w:p>
      <w:pPr>
        <w:ind w:right="240" w:firstLine="987"/>
        <w:spacing w:after="0" w:line="277" w:lineRule="auto"/>
        <w:tabs>
          <w:tab w:leader="none" w:pos="1378"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62" w:lineRule="exact"/>
        <w:rPr>
          <w:rFonts w:ascii="Arial" w:cs="Arial" w:eastAsia="Arial" w:hAnsi="Arial"/>
          <w:sz w:val="18"/>
          <w:szCs w:val="18"/>
          <w:b w:val="1"/>
          <w:bCs w:val="1"/>
          <w:color w:val="auto"/>
        </w:rPr>
      </w:pPr>
    </w:p>
    <w:p>
      <w:pPr>
        <w:ind w:firstLine="1428"/>
        <w:spacing w:after="0" w:line="259" w:lineRule="auto"/>
        <w:tabs>
          <w:tab w:leader="none" w:pos="1822"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b w:val="1"/>
          <w:bCs w:val="1"/>
          <w:color w:val="auto"/>
        </w:rPr>
      </w:pPr>
    </w:p>
    <w:p>
      <w:pPr>
        <w:jc w:val="both"/>
        <w:ind w:right="320" w:firstLine="1428"/>
        <w:spacing w:after="0" w:line="301" w:lineRule="auto"/>
        <w:tabs>
          <w:tab w:leader="none" w:pos="1822" w:val="left"/>
        </w:tabs>
        <w:numPr>
          <w:ilvl w:val="1"/>
          <w:numId w:val="55"/>
        </w:numPr>
        <w:rPr>
          <w:rFonts w:ascii="Arial" w:cs="Arial" w:eastAsia="Arial" w:hAnsi="Arial"/>
          <w:sz w:val="16"/>
          <w:szCs w:val="16"/>
          <w:b w:val="1"/>
          <w:bCs w:val="1"/>
          <w:color w:val="auto"/>
        </w:rPr>
      </w:pPr>
      <w:r>
        <w:rPr>
          <w:rFonts w:ascii="Arial" w:cs="Arial" w:eastAsia="Arial" w:hAnsi="Arial"/>
          <w:sz w:val="16"/>
          <w:szCs w:val="16"/>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57" w:lineRule="exact"/>
        <w:rPr>
          <w:rFonts w:ascii="Arial" w:cs="Arial" w:eastAsia="Arial" w:hAnsi="Arial"/>
          <w:sz w:val="16"/>
          <w:szCs w:val="16"/>
          <w:b w:val="1"/>
          <w:bCs w:val="1"/>
          <w:color w:val="auto"/>
        </w:rPr>
      </w:pPr>
    </w:p>
    <w:p>
      <w:pPr>
        <w:ind w:right="160" w:firstLine="1428"/>
        <w:spacing w:after="0" w:line="277" w:lineRule="auto"/>
        <w:tabs>
          <w:tab w:leader="none" w:pos="1822"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the Company fails to observe or perform any other of its covenants or agreements with respect to that series contained in this Indenture or otherwise established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68" w:name="page69"/>
    <w:bookmarkEnd w:id="68"/>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8" w:lineRule="exact"/>
        <w:rPr>
          <w:sz w:val="20"/>
          <w:szCs w:val="20"/>
          <w:color w:val="auto"/>
        </w:rPr>
      </w:pPr>
    </w:p>
    <w:p>
      <w:pPr>
        <w:ind w:left="4" w:right="240" w:firstLine="1428"/>
        <w:spacing w:after="0" w:line="263" w:lineRule="auto"/>
        <w:tabs>
          <w:tab w:leader="none" w:pos="1826"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83" w:lineRule="exact"/>
        <w:rPr>
          <w:rFonts w:ascii="Arial" w:cs="Arial" w:eastAsia="Arial" w:hAnsi="Arial"/>
          <w:sz w:val="18"/>
          <w:szCs w:val="18"/>
          <w:b w:val="1"/>
          <w:bCs w:val="1"/>
          <w:color w:val="auto"/>
        </w:rPr>
      </w:pPr>
    </w:p>
    <w:p>
      <w:pPr>
        <w:ind w:left="4" w:right="200" w:firstLine="1428"/>
        <w:spacing w:after="0" w:line="263" w:lineRule="auto"/>
        <w:tabs>
          <w:tab w:leader="none" w:pos="1826" w:val="left"/>
        </w:tabs>
        <w:numPr>
          <w:ilvl w:val="2"/>
          <w:numId w:val="56"/>
        </w:numPr>
        <w:rPr>
          <w:rFonts w:ascii="Arial" w:cs="Arial" w:eastAsia="Arial" w:hAnsi="Arial"/>
          <w:sz w:val="18"/>
          <w:szCs w:val="18"/>
          <w:b w:val="1"/>
          <w:bCs w:val="1"/>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83" w:lineRule="exact"/>
        <w:rPr>
          <w:rFonts w:ascii="Arial" w:cs="Arial" w:eastAsia="Arial" w:hAnsi="Arial"/>
          <w:sz w:val="18"/>
          <w:szCs w:val="18"/>
          <w:b w:val="1"/>
          <w:bCs w:val="1"/>
          <w:color w:val="auto"/>
        </w:rPr>
      </w:pPr>
    </w:p>
    <w:p>
      <w:pPr>
        <w:ind w:left="4" w:right="40" w:firstLine="987"/>
        <w:spacing w:after="0" w:line="285" w:lineRule="auto"/>
        <w:tabs>
          <w:tab w:leader="none" w:pos="1395" w:val="left"/>
        </w:tabs>
        <w:numPr>
          <w:ilvl w:val="1"/>
          <w:numId w:val="57"/>
        </w:numPr>
        <w:rPr>
          <w:rFonts w:ascii="Arial" w:cs="Arial" w:eastAsia="Arial" w:hAnsi="Arial"/>
          <w:sz w:val="16"/>
          <w:szCs w:val="16"/>
          <w:b w:val="1"/>
          <w:bCs w:val="1"/>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Arial" w:cs="Arial" w:eastAsia="Arial" w:hAnsi="Arial"/>
          <w:sz w:val="16"/>
          <w:szCs w:val="16"/>
          <w:b w:val="1"/>
          <w:bCs w:val="1"/>
          <w:color w:val="auto"/>
        </w:rPr>
      </w:pPr>
    </w:p>
    <w:p>
      <w:pPr>
        <w:ind w:left="4" w:right="40" w:hanging="4"/>
        <w:spacing w:after="0" w:line="260" w:lineRule="auto"/>
        <w:tabs>
          <w:tab w:leader="none" w:pos="2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5" w:lineRule="exact"/>
        <w:rPr>
          <w:rFonts w:ascii="Arial" w:cs="Arial" w:eastAsia="Arial" w:hAnsi="Arial"/>
          <w:sz w:val="18"/>
          <w:szCs w:val="18"/>
          <w:color w:val="auto"/>
        </w:rPr>
      </w:pPr>
    </w:p>
    <w:p>
      <w:pPr>
        <w:ind w:left="4" w:firstLine="987"/>
        <w:spacing w:after="0" w:line="288" w:lineRule="auto"/>
        <w:tabs>
          <w:tab w:leader="none" w:pos="1365" w:val="left"/>
        </w:tabs>
        <w:numPr>
          <w:ilvl w:val="1"/>
          <w:numId w:val="58"/>
        </w:numPr>
        <w:rPr>
          <w:rFonts w:ascii="Arial" w:cs="Arial" w:eastAsia="Arial" w:hAnsi="Arial"/>
          <w:sz w:val="16"/>
          <w:szCs w:val="16"/>
          <w:b w:val="1"/>
          <w:bCs w:val="1"/>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such rescission and annulment shall extend to or shall affect any subsequent default or impair any right consequent thereon.</w:t>
      </w:r>
    </w:p>
    <w:p>
      <w:pPr>
        <w:spacing w:after="0" w:line="225" w:lineRule="exact"/>
        <w:rPr>
          <w:sz w:val="20"/>
          <w:szCs w:val="20"/>
          <w:color w:val="auto"/>
        </w:rPr>
      </w:pPr>
    </w:p>
    <w:p>
      <w:pPr>
        <w:ind w:right="40" w:firstLine="987"/>
        <w:spacing w:after="0" w:line="257" w:lineRule="auto"/>
        <w:tabs>
          <w:tab w:leader="none" w:pos="1391"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6"/>
          <w:szCs w:val="16"/>
          <w:b w:val="1"/>
          <w:bCs w:val="1"/>
          <w:color w:val="auto"/>
        </w:rPr>
        <w:t>Collection of Indebtedness and Suits for Enforcement by Trustee</w:t>
      </w:r>
      <w:r>
        <w:rPr>
          <w:rFonts w:ascii="Arial" w:cs="Arial" w:eastAsia="Arial" w:hAnsi="Arial"/>
          <w:sz w:val="16"/>
          <w:szCs w:val="16"/>
          <w:color w:val="auto"/>
        </w:rPr>
        <w:t>.</w:t>
      </w:r>
    </w:p>
    <w:p>
      <w:pPr>
        <w:spacing w:after="0" w:line="229" w:lineRule="exact"/>
        <w:rPr>
          <w:sz w:val="20"/>
          <w:szCs w:val="20"/>
          <w:color w:val="auto"/>
        </w:rPr>
      </w:pPr>
    </w:p>
    <w:p>
      <w:pPr>
        <w:ind w:right="40" w:firstLine="987"/>
        <w:spacing w:after="0" w:line="269" w:lineRule="auto"/>
        <w:tabs>
          <w:tab w:leader="none" w:pos="1378"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5" w:lineRule="exact"/>
        <w:rPr>
          <w:rFonts w:ascii="Arial" w:cs="Arial" w:eastAsia="Arial" w:hAnsi="Arial"/>
          <w:sz w:val="17"/>
          <w:szCs w:val="17"/>
          <w:b w:val="1"/>
          <w:bCs w:val="1"/>
          <w:color w:val="auto"/>
        </w:rPr>
      </w:pPr>
    </w:p>
    <w:p>
      <w:pPr>
        <w:jc w:val="both"/>
        <w:ind w:firstLine="987"/>
        <w:spacing w:after="0" w:line="275" w:lineRule="auto"/>
        <w:tabs>
          <w:tab w:leader="none" w:pos="1391"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6" w:lineRule="exact"/>
        <w:rPr>
          <w:rFonts w:ascii="Arial" w:cs="Arial" w:eastAsia="Arial" w:hAnsi="Arial"/>
          <w:sz w:val="17"/>
          <w:szCs w:val="17"/>
          <w:b w:val="1"/>
          <w:bCs w:val="1"/>
          <w:color w:val="auto"/>
        </w:rPr>
      </w:pPr>
    </w:p>
    <w:p>
      <w:pPr>
        <w:ind w:right="200" w:firstLine="987"/>
        <w:spacing w:after="0" w:line="279" w:lineRule="auto"/>
        <w:tabs>
          <w:tab w:leader="none" w:pos="1371"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0" w:name="page71"/>
    <w:bookmarkEnd w:id="70"/>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8" w:lineRule="exact"/>
        <w:rPr>
          <w:sz w:val="20"/>
          <w:szCs w:val="20"/>
          <w:color w:val="auto"/>
        </w:rPr>
      </w:pPr>
    </w:p>
    <w:p>
      <w:pPr>
        <w:ind w:right="60" w:firstLine="987"/>
        <w:spacing w:after="0" w:line="257" w:lineRule="auto"/>
        <w:tabs>
          <w:tab w:leader="none" w:pos="1381"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8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6.03</w:t>
      </w:r>
      <w:r>
        <w:rPr>
          <w:sz w:val="20"/>
          <w:szCs w:val="20"/>
          <w:color w:val="auto"/>
        </w:rPr>
        <w:tab/>
      </w:r>
      <w:r>
        <w:rPr>
          <w:rFonts w:ascii="Arial" w:cs="Arial" w:eastAsia="Arial" w:hAnsi="Arial"/>
          <w:sz w:val="16"/>
          <w:szCs w:val="16"/>
          <w:b w:val="1"/>
          <w:bCs w:val="1"/>
          <w:color w:val="auto"/>
        </w:rPr>
        <w:t>Application of Moneys Collected</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THIRD: To the payment of the remainder, if any, to the Company or any other Person lawfully entitled thereto.</w:t>
      </w:r>
    </w:p>
    <w:p>
      <w:pPr>
        <w:spacing w:after="0" w:line="22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6"/>
          <w:szCs w:val="16"/>
          <w:b w:val="1"/>
          <w:bCs w:val="1"/>
          <w:color w:val="auto"/>
        </w:rPr>
        <w:t>Limitation on Suits</w:t>
      </w:r>
      <w:r>
        <w:rPr>
          <w:rFonts w:ascii="Arial" w:cs="Arial" w:eastAsia="Arial" w:hAnsi="Arial"/>
          <w:sz w:val="16"/>
          <w:szCs w:val="16"/>
          <w:color w:val="auto"/>
        </w:rPr>
        <w:t>.</w:t>
      </w:r>
    </w:p>
    <w:p>
      <w:pPr>
        <w:spacing w:after="0" w:line="229"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6"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64"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6.05</w:t>
      </w:r>
      <w:r>
        <w:rPr>
          <w:sz w:val="20"/>
          <w:szCs w:val="20"/>
          <w:color w:val="auto"/>
        </w:rPr>
        <w:tab/>
      </w:r>
      <w:r>
        <w:rPr>
          <w:rFonts w:ascii="Arial" w:cs="Arial" w:eastAsia="Arial" w:hAnsi="Arial"/>
          <w:sz w:val="16"/>
          <w:szCs w:val="16"/>
          <w:b w:val="1"/>
          <w:bCs w:val="1"/>
          <w:color w:val="auto"/>
        </w:rPr>
        <w:t>Rights and Remedies Cumulative; Delay or Omission Not Waiver</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59" w:lineRule="auto"/>
        <w:tabs>
          <w:tab w:leader="none" w:pos="1381"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72" w:name="page73"/>
    <w:bookmarkEnd w:id="72"/>
    <w:p>
      <w:pPr>
        <w:ind w:right="80" w:firstLine="987"/>
        <w:spacing w:after="0" w:line="301" w:lineRule="auto"/>
        <w:tabs>
          <w:tab w:leader="none" w:pos="1391"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6.06</w:t>
      </w:r>
      <w:r>
        <w:rPr>
          <w:sz w:val="20"/>
          <w:szCs w:val="20"/>
          <w:color w:val="auto"/>
        </w:rPr>
        <w:tab/>
      </w:r>
      <w:r>
        <w:rPr>
          <w:rFonts w:ascii="Arial" w:cs="Arial" w:eastAsia="Arial" w:hAnsi="Arial"/>
          <w:sz w:val="16"/>
          <w:szCs w:val="16"/>
          <w:b w:val="1"/>
          <w:bCs w:val="1"/>
          <w:color w:val="auto"/>
        </w:rPr>
        <w:t>Control by Securityholders</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6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6.07</w:t>
      </w:r>
      <w:r>
        <w:rPr>
          <w:sz w:val="20"/>
          <w:szCs w:val="20"/>
          <w:color w:val="auto"/>
        </w:rPr>
        <w:tab/>
      </w:r>
      <w:r>
        <w:rPr>
          <w:rFonts w:ascii="Arial" w:cs="Arial" w:eastAsia="Arial" w:hAnsi="Arial"/>
          <w:sz w:val="16"/>
          <w:szCs w:val="16"/>
          <w:b w:val="1"/>
          <w:bCs w:val="1"/>
          <w:color w:val="auto"/>
        </w:rPr>
        <w:t>Undertaking to Pay Costs</w:t>
      </w:r>
      <w:r>
        <w:rPr>
          <w:rFonts w:ascii="Arial" w:cs="Arial" w:eastAsia="Arial" w:hAnsi="Arial"/>
          <w:sz w:val="16"/>
          <w:szCs w:val="16"/>
          <w:color w:val="auto"/>
        </w:rPr>
        <w:t>.</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73" w:name="page74"/>
    <w:bookmarkEnd w:id="73"/>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CONCERNING THE TRUSTEE</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Certain Duties and Responsibilities of Trustee</w:t>
      </w:r>
      <w:r>
        <w:rPr>
          <w:rFonts w:ascii="Arial" w:cs="Arial" w:eastAsia="Arial" w:hAnsi="Arial"/>
          <w:sz w:val="16"/>
          <w:szCs w:val="16"/>
          <w:color w:val="auto"/>
        </w:rPr>
        <w:t>.</w:t>
      </w:r>
    </w:p>
    <w:p>
      <w:pPr>
        <w:spacing w:after="0" w:line="229" w:lineRule="exact"/>
        <w:rPr>
          <w:sz w:val="20"/>
          <w:szCs w:val="20"/>
          <w:color w:val="auto"/>
        </w:rPr>
      </w:pPr>
    </w:p>
    <w:p>
      <w:pPr>
        <w:ind w:right="60" w:firstLine="987"/>
        <w:spacing w:after="0" w:line="293" w:lineRule="auto"/>
        <w:tabs>
          <w:tab w:leader="none" w:pos="1378"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b w:val="1"/>
          <w:bCs w:val="1"/>
          <w:color w:val="auto"/>
        </w:rPr>
      </w:pPr>
    </w:p>
    <w:p>
      <w:pPr>
        <w:ind w:right="160" w:firstLine="987"/>
        <w:spacing w:after="0" w:line="277" w:lineRule="auto"/>
        <w:tabs>
          <w:tab w:leader="none" w:pos="1391"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sz w:val="20"/>
          <w:szCs w:val="20"/>
          <w:color w:val="auto"/>
        </w:rPr>
      </w:pPr>
    </w:p>
    <w:p>
      <w:pPr>
        <w:ind w:right="400" w:firstLine="987"/>
        <w:spacing w:after="0" w:line="277" w:lineRule="auto"/>
        <w:tabs>
          <w:tab w:leader="none" w:pos="1341"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62" w:lineRule="exact"/>
        <w:rPr>
          <w:rFonts w:ascii="Arial" w:cs="Arial" w:eastAsia="Arial" w:hAnsi="Arial"/>
          <w:sz w:val="18"/>
          <w:szCs w:val="18"/>
          <w:b w:val="1"/>
          <w:bCs w:val="1"/>
          <w:color w:val="auto"/>
        </w:rPr>
      </w:pPr>
    </w:p>
    <w:p>
      <w:pPr>
        <w:ind w:firstLine="1428"/>
        <w:spacing w:after="0" w:line="259" w:lineRule="auto"/>
        <w:tabs>
          <w:tab w:leader="none" w:pos="186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b w:val="1"/>
          <w:bCs w:val="1"/>
          <w:color w:val="auto"/>
        </w:rPr>
      </w:pPr>
    </w:p>
    <w:p>
      <w:pPr>
        <w:ind w:right="20" w:firstLine="1428"/>
        <w:spacing w:after="0" w:line="257" w:lineRule="auto"/>
        <w:tabs>
          <w:tab w:leader="none" w:pos="1852" w:val="left"/>
        </w:tabs>
        <w:numPr>
          <w:ilvl w:val="1"/>
          <w:numId w:val="65"/>
        </w:numPr>
        <w:rPr>
          <w:rFonts w:ascii="Arial" w:cs="Arial" w:eastAsia="Arial" w:hAnsi="Arial"/>
          <w:sz w:val="18"/>
          <w:szCs w:val="18"/>
          <w:b w:val="1"/>
          <w:bCs w:val="1"/>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74" w:name="page75"/>
    <w:bookmarkEnd w:id="74"/>
    <w:p>
      <w:pPr>
        <w:ind w:left="-20" w:right="240" w:firstLine="987"/>
        <w:spacing w:after="0" w:line="342" w:lineRule="auto"/>
        <w:tabs>
          <w:tab w:leader="none" w:pos="1371"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23" w:lineRule="exact"/>
        <w:rPr>
          <w:rFonts w:ascii="Arial" w:cs="Arial" w:eastAsia="Arial" w:hAnsi="Arial"/>
          <w:sz w:val="16"/>
          <w:szCs w:val="16"/>
          <w:b w:val="1"/>
          <w:bCs w:val="1"/>
          <w:color w:val="auto"/>
        </w:rPr>
      </w:pPr>
    </w:p>
    <w:p>
      <w:pPr>
        <w:ind w:left="-20" w:firstLine="987"/>
        <w:spacing w:after="0" w:line="259" w:lineRule="auto"/>
        <w:tabs>
          <w:tab w:leader="none" w:pos="142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86" w:lineRule="exact"/>
        <w:rPr>
          <w:rFonts w:ascii="Arial" w:cs="Arial" w:eastAsia="Arial" w:hAnsi="Arial"/>
          <w:sz w:val="18"/>
          <w:szCs w:val="18"/>
          <w:b w:val="1"/>
          <w:bCs w:val="1"/>
          <w:color w:val="auto"/>
        </w:rPr>
      </w:pPr>
    </w:p>
    <w:p>
      <w:pPr>
        <w:jc w:val="both"/>
        <w:ind w:left="-20" w:right="340" w:firstLine="987"/>
        <w:spacing w:after="0" w:line="259" w:lineRule="auto"/>
        <w:tabs>
          <w:tab w:leader="none" w:pos="141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6" w:lineRule="exact"/>
        <w:rPr>
          <w:rFonts w:ascii="Arial" w:cs="Arial" w:eastAsia="Arial" w:hAnsi="Arial"/>
          <w:sz w:val="18"/>
          <w:szCs w:val="18"/>
          <w:b w:val="1"/>
          <w:bCs w:val="1"/>
          <w:color w:val="auto"/>
        </w:rPr>
      </w:pPr>
    </w:p>
    <w:p>
      <w:pPr>
        <w:ind w:left="1360" w:hanging="393"/>
        <w:spacing w:after="0"/>
        <w:tabs>
          <w:tab w:leader="none" w:pos="136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The Trustee shall not be required to give any bond or surety in respect of the performance of its powers or duties hereunder;</w:t>
      </w:r>
    </w:p>
    <w:p>
      <w:pPr>
        <w:spacing w:after="0" w:line="236" w:lineRule="exact"/>
        <w:rPr>
          <w:rFonts w:ascii="Arial" w:cs="Arial" w:eastAsia="Arial" w:hAnsi="Arial"/>
          <w:sz w:val="17"/>
          <w:szCs w:val="17"/>
          <w:b w:val="1"/>
          <w:bCs w:val="1"/>
          <w:color w:val="auto"/>
        </w:rPr>
      </w:pPr>
    </w:p>
    <w:p>
      <w:pPr>
        <w:ind w:left="1400" w:hanging="433"/>
        <w:spacing w:after="0"/>
        <w:tabs>
          <w:tab w:leader="none" w:pos="1400"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permissive right of the Trustee to do things enumerated in this Indenture shall not be construed as a duty of the Trustee; and</w:t>
      </w:r>
    </w:p>
    <w:p>
      <w:pPr>
        <w:spacing w:after="0" w:line="248" w:lineRule="exact"/>
        <w:rPr>
          <w:rFonts w:ascii="Arial" w:cs="Arial" w:eastAsia="Arial" w:hAnsi="Arial"/>
          <w:sz w:val="16"/>
          <w:szCs w:val="16"/>
          <w:b w:val="1"/>
          <w:bCs w:val="1"/>
          <w:color w:val="auto"/>
        </w:rPr>
      </w:pPr>
    </w:p>
    <w:p>
      <w:pPr>
        <w:ind w:left="-20" w:right="220" w:firstLine="987"/>
        <w:spacing w:after="0" w:line="277" w:lineRule="auto"/>
        <w:tabs>
          <w:tab w:leader="none" w:pos="1461"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No Trustee shall have any duty or responsibility for any act or omission of any other Trustee appointed with respect to a series of Securities hereunder.</w:t>
      </w:r>
    </w:p>
    <w:p>
      <w:pPr>
        <w:spacing w:after="0" w:line="166" w:lineRule="exact"/>
        <w:rPr>
          <w:sz w:val="20"/>
          <w:szCs w:val="20"/>
          <w:color w:val="auto"/>
        </w:rPr>
      </w:pPr>
    </w:p>
    <w:p>
      <w:pPr>
        <w:ind w:left="420"/>
        <w:spacing w:after="0"/>
        <w:tabs>
          <w:tab w:leader="none" w:pos="150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6"/>
          <w:szCs w:val="16"/>
          <w:b w:val="1"/>
          <w:bCs w:val="1"/>
          <w:color w:val="auto"/>
        </w:rPr>
        <w:t>Certain Rights of Trustee</w:t>
      </w:r>
      <w:r>
        <w:rPr>
          <w:rFonts w:ascii="Arial" w:cs="Arial" w:eastAsia="Arial" w:hAnsi="Arial"/>
          <w:sz w:val="16"/>
          <w:szCs w:val="16"/>
          <w:color w:val="auto"/>
        </w:rPr>
        <w: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Except as otherwise provided in Section 7.01:</w:t>
      </w:r>
    </w:p>
    <w:p>
      <w:pPr>
        <w:spacing w:after="0" w:line="117" w:lineRule="exact"/>
        <w:rPr>
          <w:sz w:val="20"/>
          <w:szCs w:val="20"/>
          <w:color w:val="auto"/>
        </w:rPr>
      </w:pPr>
    </w:p>
    <w:p>
      <w:pPr>
        <w:ind w:left="-20" w:right="160" w:firstLine="987"/>
        <w:spacing w:after="0" w:line="263" w:lineRule="auto"/>
        <w:tabs>
          <w:tab w:leader="none" w:pos="1358"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b w:val="1"/>
          <w:bCs w:val="1"/>
          <w:color w:val="auto"/>
        </w:rPr>
      </w:pPr>
    </w:p>
    <w:p>
      <w:pPr>
        <w:ind w:left="-20" w:right="120" w:firstLine="987"/>
        <w:spacing w:after="0" w:line="263" w:lineRule="auto"/>
        <w:tabs>
          <w:tab w:leader="none" w:pos="1361"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3" w:lineRule="exact"/>
        <w:rPr>
          <w:rFonts w:ascii="Arial" w:cs="Arial" w:eastAsia="Arial" w:hAnsi="Arial"/>
          <w:sz w:val="18"/>
          <w:szCs w:val="18"/>
          <w:b w:val="1"/>
          <w:bCs w:val="1"/>
          <w:color w:val="auto"/>
        </w:rPr>
      </w:pPr>
    </w:p>
    <w:p>
      <w:pPr>
        <w:ind w:left="-20" w:right="360" w:firstLine="987"/>
        <w:spacing w:after="0" w:line="263" w:lineRule="auto"/>
        <w:tabs>
          <w:tab w:leader="none" w:pos="1348"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60" w:top="274" w:right="479" w:bottom="1440" w:gutter="0" w:footer="0" w:header="0"/>
        </w:sectPr>
      </w:pPr>
    </w:p>
    <w:bookmarkStart w:id="75" w:name="page76"/>
    <w:bookmarkEnd w:id="75"/>
    <w:p>
      <w:pPr>
        <w:ind w:right="20" w:firstLine="987"/>
        <w:spacing w:after="0" w:line="293" w:lineRule="auto"/>
        <w:tabs>
          <w:tab w:leader="none" w:pos="1388"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64" w:lineRule="exact"/>
        <w:rPr>
          <w:rFonts w:ascii="Arial" w:cs="Arial" w:eastAsia="Arial" w:hAnsi="Arial"/>
          <w:sz w:val="16"/>
          <w:szCs w:val="16"/>
          <w:b w:val="1"/>
          <w:bCs w:val="1"/>
          <w:color w:val="auto"/>
        </w:rPr>
      </w:pPr>
    </w:p>
    <w:p>
      <w:pPr>
        <w:ind w:right="300" w:firstLine="987"/>
        <w:spacing w:after="0" w:line="277" w:lineRule="auto"/>
        <w:tabs>
          <w:tab w:leader="none" w:pos="1368"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b w:val="1"/>
          <w:bCs w:val="1"/>
          <w:color w:val="auto"/>
        </w:rPr>
      </w:pPr>
    </w:p>
    <w:p>
      <w:pPr>
        <w:ind w:firstLine="987"/>
        <w:spacing w:after="0" w:line="290" w:lineRule="auto"/>
        <w:tabs>
          <w:tab w:leader="none" w:pos="1348"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65" w:lineRule="exact"/>
        <w:rPr>
          <w:rFonts w:ascii="Arial" w:cs="Arial" w:eastAsia="Arial" w:hAnsi="Arial"/>
          <w:sz w:val="16"/>
          <w:szCs w:val="16"/>
          <w:b w:val="1"/>
          <w:bCs w:val="1"/>
          <w:color w:val="auto"/>
        </w:rPr>
      </w:pPr>
    </w:p>
    <w:p>
      <w:pPr>
        <w:ind w:right="300" w:firstLine="987"/>
        <w:spacing w:after="0" w:line="263" w:lineRule="auto"/>
        <w:tabs>
          <w:tab w:leader="none" w:pos="1423"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3" w:lineRule="exact"/>
        <w:rPr>
          <w:rFonts w:ascii="Arial" w:cs="Arial" w:eastAsia="Arial" w:hAnsi="Arial"/>
          <w:sz w:val="18"/>
          <w:szCs w:val="18"/>
          <w:b w:val="1"/>
          <w:bCs w:val="1"/>
          <w:color w:val="auto"/>
        </w:rPr>
      </w:pPr>
    </w:p>
    <w:p>
      <w:pPr>
        <w:ind w:right="200" w:firstLine="987"/>
        <w:spacing w:after="0" w:line="275" w:lineRule="auto"/>
        <w:tabs>
          <w:tab w:leader="none" w:pos="1391" w:val="left"/>
        </w:tabs>
        <w:numPr>
          <w:ilvl w:val="0"/>
          <w:numId w:val="68"/>
        </w:numPr>
        <w:rPr>
          <w:rFonts w:ascii="Arial" w:cs="Arial" w:eastAsia="Arial" w:hAnsi="Arial"/>
          <w:sz w:val="17"/>
          <w:szCs w:val="17"/>
          <w:b w:val="1"/>
          <w:bCs w:val="1"/>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rFonts w:ascii="Arial" w:cs="Arial" w:eastAsia="Arial" w:hAnsi="Arial"/>
          <w:sz w:val="17"/>
          <w:szCs w:val="17"/>
          <w:b w:val="1"/>
          <w:bCs w:val="1"/>
          <w:color w:val="auto"/>
        </w:rPr>
      </w:pPr>
    </w:p>
    <w:p>
      <w:pPr>
        <w:ind w:right="260" w:firstLine="987"/>
        <w:spacing w:after="0" w:line="263" w:lineRule="auto"/>
        <w:tabs>
          <w:tab w:leader="none" w:pos="1341"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76" w:name="page77"/>
    <w:bookmarkEnd w:id="76"/>
    <w:p>
      <w:pPr>
        <w:ind w:firstLine="987"/>
        <w:spacing w:after="0" w:line="288" w:lineRule="auto"/>
        <w:tabs>
          <w:tab w:leader="none" w:pos="1348"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68" w:lineRule="exact"/>
        <w:rPr>
          <w:rFonts w:ascii="Arial" w:cs="Arial" w:eastAsia="Arial" w:hAnsi="Arial"/>
          <w:sz w:val="16"/>
          <w:szCs w:val="16"/>
          <w:b w:val="1"/>
          <w:bCs w:val="1"/>
          <w:color w:val="auto"/>
        </w:rPr>
      </w:pPr>
    </w:p>
    <w:p>
      <w:pPr>
        <w:ind w:right="540" w:firstLine="987"/>
        <w:spacing w:after="0" w:line="263" w:lineRule="auto"/>
        <w:tabs>
          <w:tab w:leader="none" w:pos="1388"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183" w:lineRule="exact"/>
        <w:rPr>
          <w:rFonts w:ascii="Arial" w:cs="Arial" w:eastAsia="Arial" w:hAnsi="Arial"/>
          <w:sz w:val="18"/>
          <w:szCs w:val="18"/>
          <w:b w:val="1"/>
          <w:bCs w:val="1"/>
          <w:color w:val="auto"/>
        </w:rPr>
      </w:pPr>
    </w:p>
    <w:p>
      <w:pPr>
        <w:ind w:right="220" w:firstLine="987"/>
        <w:spacing w:after="0" w:line="259" w:lineRule="auto"/>
        <w:tabs>
          <w:tab w:leader="none" w:pos="1338"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8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5"/>
          <w:szCs w:val="15"/>
          <w:b w:val="1"/>
          <w:bCs w:val="1"/>
          <w:color w:val="auto"/>
        </w:rPr>
        <w:t>Trustee Not Responsible for Recitals or Issuance or Securities</w:t>
      </w:r>
      <w:r>
        <w:rPr>
          <w:rFonts w:ascii="Arial" w:cs="Arial" w:eastAsia="Arial" w:hAnsi="Arial"/>
          <w:sz w:val="15"/>
          <w:szCs w:val="15"/>
          <w:color w:val="auto"/>
        </w:rPr>
        <w:t>.</w:t>
      </w:r>
    </w:p>
    <w:p>
      <w:pPr>
        <w:spacing w:after="0" w:line="229" w:lineRule="exact"/>
        <w:rPr>
          <w:sz w:val="20"/>
          <w:szCs w:val="20"/>
          <w:color w:val="auto"/>
        </w:rPr>
      </w:pPr>
    </w:p>
    <w:p>
      <w:pPr>
        <w:ind w:right="120" w:firstLine="987"/>
        <w:spacing w:after="0" w:line="259" w:lineRule="auto"/>
        <w:tabs>
          <w:tab w:leader="none" w:pos="1378"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86" w:lineRule="exact"/>
        <w:rPr>
          <w:rFonts w:ascii="Arial" w:cs="Arial" w:eastAsia="Arial" w:hAnsi="Arial"/>
          <w:sz w:val="18"/>
          <w:szCs w:val="18"/>
          <w:b w:val="1"/>
          <w:bCs w:val="1"/>
          <w:color w:val="auto"/>
        </w:rPr>
      </w:pPr>
    </w:p>
    <w:p>
      <w:pPr>
        <w:ind w:left="1380" w:hanging="393"/>
        <w:spacing w:after="0"/>
        <w:tabs>
          <w:tab w:leader="none" w:pos="138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b w:val="1"/>
          <w:bCs w:val="1"/>
          <w:color w:val="auto"/>
        </w:rPr>
      </w:pPr>
    </w:p>
    <w:p>
      <w:pPr>
        <w:ind w:right="300" w:firstLine="987"/>
        <w:spacing w:after="0" w:line="286" w:lineRule="auto"/>
        <w:tabs>
          <w:tab w:leader="none" w:pos="1368" w:val="left"/>
        </w:tabs>
        <w:numPr>
          <w:ilvl w:val="0"/>
          <w:numId w:val="70"/>
        </w:numPr>
        <w:rPr>
          <w:rFonts w:ascii="Arial" w:cs="Arial" w:eastAsia="Arial" w:hAnsi="Arial"/>
          <w:sz w:val="17"/>
          <w:szCs w:val="17"/>
          <w:b w:val="1"/>
          <w:bCs w:val="1"/>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77" w:name="page78"/>
    <w:bookmarkEnd w:id="77"/>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7.04</w:t>
      </w:r>
      <w:r>
        <w:rPr>
          <w:sz w:val="20"/>
          <w:szCs w:val="20"/>
          <w:color w:val="auto"/>
        </w:rPr>
        <w:tab/>
      </w:r>
      <w:r>
        <w:rPr>
          <w:rFonts w:ascii="Arial" w:cs="Arial" w:eastAsia="Arial" w:hAnsi="Arial"/>
          <w:sz w:val="16"/>
          <w:szCs w:val="16"/>
          <w:b w:val="1"/>
          <w:bCs w:val="1"/>
          <w:color w:val="auto"/>
        </w:rPr>
        <w:t>May Hold Securities</w:t>
      </w:r>
      <w:r>
        <w:rPr>
          <w:rFonts w:ascii="Arial" w:cs="Arial" w:eastAsia="Arial" w:hAnsi="Arial"/>
          <w:sz w:val="16"/>
          <w:szCs w:val="16"/>
          <w:color w:val="auto"/>
        </w:rPr>
        <w:t>.</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6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7.05</w:t>
      </w:r>
      <w:r>
        <w:rPr>
          <w:sz w:val="20"/>
          <w:szCs w:val="20"/>
          <w:color w:val="auto"/>
        </w:rPr>
        <w:tab/>
      </w:r>
      <w:r>
        <w:rPr>
          <w:rFonts w:ascii="Arial" w:cs="Arial" w:eastAsia="Arial" w:hAnsi="Arial"/>
          <w:sz w:val="16"/>
          <w:szCs w:val="16"/>
          <w:b w:val="1"/>
          <w:bCs w:val="1"/>
          <w:color w:val="auto"/>
        </w:rPr>
        <w:t>Moneys Held in Trust</w:t>
      </w:r>
      <w:r>
        <w:rPr>
          <w:rFonts w:ascii="Arial" w:cs="Arial" w:eastAsia="Arial" w:hAnsi="Arial"/>
          <w:sz w:val="16"/>
          <w:szCs w:val="16"/>
          <w:color w:val="auto"/>
        </w:rPr>
        <w:t>.</w:t>
      </w:r>
    </w:p>
    <w:p>
      <w:pPr>
        <w:spacing w:after="0" w:line="229"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4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7.06</w:t>
      </w:r>
      <w:r>
        <w:rPr>
          <w:sz w:val="20"/>
          <w:szCs w:val="20"/>
          <w:color w:val="auto"/>
        </w:rPr>
        <w:tab/>
      </w:r>
      <w:r>
        <w:rPr>
          <w:rFonts w:ascii="Arial" w:cs="Arial" w:eastAsia="Arial" w:hAnsi="Arial"/>
          <w:sz w:val="16"/>
          <w:szCs w:val="16"/>
          <w:b w:val="1"/>
          <w:bCs w:val="1"/>
          <w:color w:val="auto"/>
        </w:rPr>
        <w:t>Compensation and Reimbursement</w:t>
      </w:r>
      <w:r>
        <w:rPr>
          <w:rFonts w:ascii="Arial" w:cs="Arial" w:eastAsia="Arial" w:hAnsi="Arial"/>
          <w:sz w:val="16"/>
          <w:szCs w:val="16"/>
          <w:color w:val="auto"/>
        </w:rPr>
        <w:t>.</w:t>
      </w:r>
    </w:p>
    <w:p>
      <w:pPr>
        <w:spacing w:after="0" w:line="229" w:lineRule="exact"/>
        <w:rPr>
          <w:sz w:val="20"/>
          <w:szCs w:val="20"/>
          <w:color w:val="auto"/>
        </w:rPr>
      </w:pPr>
    </w:p>
    <w:p>
      <w:pPr>
        <w:ind w:firstLine="987"/>
        <w:spacing w:after="0" w:line="279" w:lineRule="auto"/>
        <w:tabs>
          <w:tab w:leader="none" w:pos="1426"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71" w:lineRule="exact"/>
        <w:rPr>
          <w:rFonts w:ascii="Arial" w:cs="Arial" w:eastAsia="Arial" w:hAnsi="Arial"/>
          <w:sz w:val="17"/>
          <w:szCs w:val="17"/>
          <w:b w:val="1"/>
          <w:bCs w:val="1"/>
          <w:color w:val="auto"/>
        </w:rPr>
      </w:pPr>
    </w:p>
    <w:p>
      <w:pPr>
        <w:ind w:right="40" w:firstLine="987"/>
        <w:spacing w:after="0" w:line="272" w:lineRule="auto"/>
        <w:tabs>
          <w:tab w:leader="none" w:pos="1388"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77" w:lineRule="exact"/>
        <w:rPr>
          <w:rFonts w:ascii="Arial" w:cs="Arial" w:eastAsia="Arial" w:hAnsi="Arial"/>
          <w:sz w:val="17"/>
          <w:szCs w:val="17"/>
          <w:b w:val="1"/>
          <w:bCs w:val="1"/>
          <w:color w:val="auto"/>
        </w:rPr>
      </w:pPr>
    </w:p>
    <w:p>
      <w:pPr>
        <w:ind w:right="260" w:firstLine="987"/>
        <w:spacing w:after="0" w:line="277" w:lineRule="auto"/>
        <w:tabs>
          <w:tab w:leader="none" w:pos="1368"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70" w:lineRule="exact"/>
        <w:rPr>
          <w:rFonts w:ascii="Arial" w:cs="Arial" w:eastAsia="Arial" w:hAnsi="Arial"/>
          <w:sz w:val="18"/>
          <w:szCs w:val="18"/>
          <w:b w:val="1"/>
          <w:bCs w:val="1"/>
          <w:color w:val="auto"/>
        </w:rPr>
      </w:pPr>
    </w:p>
    <w:p>
      <w:pPr>
        <w:ind w:right="80" w:firstLine="987"/>
        <w:spacing w:after="0" w:line="296" w:lineRule="auto"/>
        <w:tabs>
          <w:tab w:leader="none" w:pos="1388"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0" w:right="499" w:bottom="1440" w:gutter="0" w:footer="0" w:header="0"/>
        </w:sectPr>
      </w:pPr>
    </w:p>
    <w:bookmarkStart w:id="78" w:name="page79"/>
    <w:bookmarkEnd w:id="78"/>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7.07</w:t>
      </w:r>
      <w:r>
        <w:rPr>
          <w:sz w:val="20"/>
          <w:szCs w:val="20"/>
          <w:color w:val="auto"/>
        </w:rPr>
        <w:tab/>
      </w:r>
      <w:r>
        <w:rPr>
          <w:rFonts w:ascii="Arial" w:cs="Arial" w:eastAsia="Arial" w:hAnsi="Arial"/>
          <w:sz w:val="16"/>
          <w:szCs w:val="16"/>
          <w:b w:val="1"/>
          <w:bCs w:val="1"/>
          <w:color w:val="auto"/>
        </w:rPr>
        <w:t>Reliance on Officer’s Certificate</w:t>
      </w:r>
      <w:r>
        <w:rPr>
          <w:rFonts w:ascii="Arial" w:cs="Arial" w:eastAsia="Arial" w:hAnsi="Arial"/>
          <w:sz w:val="16"/>
          <w:szCs w:val="16"/>
          <w:color w:val="auto"/>
        </w:rPr>
        <w:t>.</w:t>
      </w:r>
    </w:p>
    <w:p>
      <w:pPr>
        <w:spacing w:after="0" w:line="229"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7.08</w:t>
      </w:r>
      <w:r>
        <w:rPr>
          <w:sz w:val="20"/>
          <w:szCs w:val="20"/>
          <w:color w:val="auto"/>
        </w:rPr>
        <w:tab/>
      </w:r>
      <w:r>
        <w:rPr>
          <w:rFonts w:ascii="Arial" w:cs="Arial" w:eastAsia="Arial" w:hAnsi="Arial"/>
          <w:sz w:val="16"/>
          <w:szCs w:val="16"/>
          <w:b w:val="1"/>
          <w:bCs w:val="1"/>
          <w:color w:val="auto"/>
        </w:rPr>
        <w:t>Disqualification; Conflicting Interests</w:t>
      </w:r>
      <w:r>
        <w:rPr>
          <w:rFonts w:ascii="Arial" w:cs="Arial" w:eastAsia="Arial" w:hAnsi="Arial"/>
          <w:sz w:val="16"/>
          <w:szCs w:val="16"/>
          <w:color w:val="auto"/>
        </w:rPr>
        <w:t>.</w:t>
      </w:r>
    </w:p>
    <w:p>
      <w:pPr>
        <w:spacing w:after="0" w:line="229"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6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7.09</w:t>
      </w:r>
      <w:r>
        <w:rPr>
          <w:sz w:val="20"/>
          <w:szCs w:val="20"/>
          <w:color w:val="auto"/>
        </w:rPr>
        <w:tab/>
      </w:r>
      <w:r>
        <w:rPr>
          <w:rFonts w:ascii="Arial" w:cs="Arial" w:eastAsia="Arial" w:hAnsi="Arial"/>
          <w:sz w:val="16"/>
          <w:szCs w:val="16"/>
          <w:b w:val="1"/>
          <w:bCs w:val="1"/>
          <w:color w:val="auto"/>
        </w:rPr>
        <w:t>Corporate Trustee Required; Eligibility</w:t>
      </w:r>
      <w:r>
        <w:rPr>
          <w:rFonts w:ascii="Arial" w:cs="Arial" w:eastAsia="Arial" w:hAnsi="Arial"/>
          <w:sz w:val="16"/>
          <w:szCs w:val="16"/>
          <w:color w:val="auto"/>
        </w:rPr>
        <w:t>.</w:t>
      </w:r>
    </w:p>
    <w:p>
      <w:pPr>
        <w:spacing w:after="0" w:line="229" w:lineRule="exact"/>
        <w:rPr>
          <w:sz w:val="20"/>
          <w:szCs w:val="20"/>
          <w:color w:val="auto"/>
        </w:rPr>
      </w:pPr>
    </w:p>
    <w:p>
      <w:pPr>
        <w:jc w:val="both"/>
        <w:ind w:right="60" w:firstLine="440"/>
        <w:spacing w:after="0" w:line="301"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7"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color w:val="auto"/>
        </w:rPr>
        <w:t>Resignation and Removal; Appointment of Successor</w:t>
      </w:r>
      <w:r>
        <w:rPr>
          <w:rFonts w:ascii="Arial" w:cs="Arial" w:eastAsia="Arial" w:hAnsi="Arial"/>
          <w:sz w:val="15"/>
          <w:szCs w:val="15"/>
          <w:color w:val="auto"/>
        </w:rPr>
        <w:t>.</w:t>
      </w:r>
    </w:p>
    <w:p>
      <w:pPr>
        <w:spacing w:after="0" w:line="229" w:lineRule="exact"/>
        <w:rPr>
          <w:sz w:val="20"/>
          <w:szCs w:val="20"/>
          <w:color w:val="auto"/>
        </w:rPr>
      </w:pPr>
    </w:p>
    <w:p>
      <w:pPr>
        <w:ind w:firstLine="987"/>
        <w:spacing w:after="0" w:line="257" w:lineRule="auto"/>
        <w:tabs>
          <w:tab w:leader="none" w:pos="1378"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79" w:name="page80"/>
    <w:bookmarkEnd w:id="7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1" w:lineRule="exact"/>
        <w:rPr>
          <w:sz w:val="20"/>
          <w:szCs w:val="20"/>
          <w:color w:val="auto"/>
        </w:rPr>
      </w:pPr>
    </w:p>
    <w:p>
      <w:pPr>
        <w:ind w:left="1380" w:hanging="393"/>
        <w:spacing w:after="0"/>
        <w:tabs>
          <w:tab w:leader="none" w:pos="138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b w:val="1"/>
          <w:bCs w:val="1"/>
          <w:color w:val="auto"/>
        </w:rPr>
      </w:pPr>
    </w:p>
    <w:p>
      <w:pPr>
        <w:ind w:right="360" w:firstLine="1428"/>
        <w:spacing w:after="0" w:line="277" w:lineRule="auto"/>
        <w:tabs>
          <w:tab w:leader="none" w:pos="1782"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b w:val="1"/>
          <w:bCs w:val="1"/>
          <w:color w:val="auto"/>
        </w:rPr>
      </w:pPr>
    </w:p>
    <w:p>
      <w:pPr>
        <w:ind w:right="400" w:firstLine="1428"/>
        <w:spacing w:after="0" w:line="277" w:lineRule="auto"/>
        <w:tabs>
          <w:tab w:leader="none" w:pos="1832"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b w:val="1"/>
          <w:bCs w:val="1"/>
          <w:color w:val="auto"/>
        </w:rPr>
      </w:pPr>
    </w:p>
    <w:p>
      <w:pPr>
        <w:ind w:firstLine="1428"/>
        <w:spacing w:after="0" w:line="263" w:lineRule="auto"/>
        <w:tabs>
          <w:tab w:leader="none" w:pos="1882" w:val="left"/>
        </w:tabs>
        <w:numPr>
          <w:ilvl w:val="1"/>
          <w:numId w:val="73"/>
        </w:numPr>
        <w:rPr>
          <w:rFonts w:ascii="Arial" w:cs="Arial" w:eastAsia="Arial" w:hAnsi="Arial"/>
          <w:sz w:val="18"/>
          <w:szCs w:val="18"/>
          <w:b w:val="1"/>
          <w:bCs w:val="1"/>
          <w:color w:val="auto"/>
        </w:rPr>
      </w:pPr>
      <w:r>
        <w:rPr>
          <w:rFonts w:ascii="Arial" w:cs="Arial" w:eastAsia="Arial" w:hAnsi="Arial"/>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84"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1" w:lineRule="exact"/>
        <w:rPr>
          <w:sz w:val="20"/>
          <w:szCs w:val="20"/>
          <w:color w:val="auto"/>
        </w:rPr>
      </w:pPr>
    </w:p>
    <w:p>
      <w:pPr>
        <w:ind w:firstLine="987"/>
        <w:spacing w:after="0" w:line="263" w:lineRule="auto"/>
        <w:tabs>
          <w:tab w:leader="none" w:pos="1368"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3" w:lineRule="exact"/>
        <w:rPr>
          <w:rFonts w:ascii="Arial" w:cs="Arial" w:eastAsia="Arial" w:hAnsi="Arial"/>
          <w:sz w:val="18"/>
          <w:szCs w:val="18"/>
          <w:b w:val="1"/>
          <w:bCs w:val="1"/>
          <w:color w:val="auto"/>
        </w:rPr>
      </w:pPr>
    </w:p>
    <w:p>
      <w:pPr>
        <w:ind w:right="20" w:firstLine="987"/>
        <w:spacing w:after="0" w:line="342" w:lineRule="auto"/>
        <w:tabs>
          <w:tab w:leader="none" w:pos="1381"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b w:val="1"/>
          <w:bCs w:val="1"/>
          <w:color w:val="auto"/>
        </w:rPr>
      </w:pPr>
    </w:p>
    <w:p>
      <w:pPr>
        <w:ind w:right="140" w:firstLine="987"/>
        <w:spacing w:after="0" w:line="277" w:lineRule="auto"/>
        <w:tabs>
          <w:tab w:leader="none" w:pos="1361"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80" w:name="page81"/>
    <w:bookmarkEnd w:id="80"/>
    <w:p>
      <w:pPr>
        <w:ind w:left="440"/>
        <w:spacing w:after="0"/>
        <w:tabs>
          <w:tab w:leader="none" w:pos="15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7.11</w:t>
      </w:r>
      <w:r>
        <w:rPr>
          <w:sz w:val="20"/>
          <w:szCs w:val="20"/>
          <w:color w:val="auto"/>
        </w:rPr>
        <w:tab/>
      </w:r>
      <w:r>
        <w:rPr>
          <w:rFonts w:ascii="Arial" w:cs="Arial" w:eastAsia="Arial" w:hAnsi="Arial"/>
          <w:sz w:val="15"/>
          <w:szCs w:val="15"/>
          <w:b w:val="1"/>
          <w:bCs w:val="1"/>
          <w:color w:val="auto"/>
        </w:rPr>
        <w:t>Acceptance of Appointment By Successor</w:t>
      </w:r>
      <w:r>
        <w:rPr>
          <w:rFonts w:ascii="Arial" w:cs="Arial" w:eastAsia="Arial" w:hAnsi="Arial"/>
          <w:sz w:val="15"/>
          <w:szCs w:val="15"/>
          <w:color w:val="auto"/>
        </w:rPr>
        <w:t>.</w:t>
      </w:r>
    </w:p>
    <w:p>
      <w:pPr>
        <w:spacing w:after="0" w:line="229" w:lineRule="exact"/>
        <w:rPr>
          <w:sz w:val="20"/>
          <w:szCs w:val="20"/>
          <w:color w:val="auto"/>
        </w:rPr>
      </w:pPr>
    </w:p>
    <w:p>
      <w:pPr>
        <w:ind w:right="160" w:firstLine="987"/>
        <w:spacing w:after="0" w:line="272" w:lineRule="auto"/>
        <w:tabs>
          <w:tab w:leader="none" w:pos="1381"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7" w:lineRule="exact"/>
        <w:rPr>
          <w:rFonts w:ascii="Arial" w:cs="Arial" w:eastAsia="Arial" w:hAnsi="Arial"/>
          <w:sz w:val="17"/>
          <w:szCs w:val="17"/>
          <w:b w:val="1"/>
          <w:bCs w:val="1"/>
          <w:color w:val="auto"/>
        </w:rPr>
      </w:pPr>
    </w:p>
    <w:p>
      <w:pPr>
        <w:ind w:right="100" w:firstLine="987"/>
        <w:spacing w:after="0" w:line="285" w:lineRule="auto"/>
        <w:tabs>
          <w:tab w:leader="none" w:pos="1391"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68" w:lineRule="exact"/>
        <w:rPr>
          <w:rFonts w:ascii="Arial" w:cs="Arial" w:eastAsia="Arial" w:hAnsi="Arial"/>
          <w:sz w:val="16"/>
          <w:szCs w:val="16"/>
          <w:b w:val="1"/>
          <w:bCs w:val="1"/>
          <w:color w:val="auto"/>
        </w:rPr>
      </w:pPr>
    </w:p>
    <w:p>
      <w:pPr>
        <w:ind w:firstLine="987"/>
        <w:spacing w:after="0" w:line="342" w:lineRule="auto"/>
        <w:tabs>
          <w:tab w:leader="none" w:pos="1371"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81" w:name="page82"/>
    <w:bookmarkEnd w:id="81"/>
    <w:p>
      <w:pPr>
        <w:ind w:right="180" w:firstLine="987"/>
        <w:spacing w:after="0" w:line="277" w:lineRule="auto"/>
        <w:tabs>
          <w:tab w:leader="none" w:pos="1391"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b w:val="1"/>
          <w:bCs w:val="1"/>
          <w:color w:val="auto"/>
        </w:rPr>
      </w:pPr>
    </w:p>
    <w:p>
      <w:pPr>
        <w:ind w:right="140" w:firstLine="987"/>
        <w:spacing w:after="0" w:line="286" w:lineRule="auto"/>
        <w:tabs>
          <w:tab w:leader="none" w:pos="1371"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6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7.12</w:t>
      </w:r>
      <w:r>
        <w:rPr>
          <w:sz w:val="20"/>
          <w:szCs w:val="20"/>
          <w:color w:val="auto"/>
        </w:rPr>
        <w:tab/>
      </w:r>
      <w:r>
        <w:rPr>
          <w:rFonts w:ascii="Arial" w:cs="Arial" w:eastAsia="Arial" w:hAnsi="Arial"/>
          <w:sz w:val="15"/>
          <w:szCs w:val="15"/>
          <w:b w:val="1"/>
          <w:bCs w:val="1"/>
          <w:color w:val="auto"/>
        </w:rPr>
        <w:t>Merger, Conversion, Consolidation or Succession to Business</w:t>
      </w:r>
      <w:r>
        <w:rPr>
          <w:rFonts w:ascii="Arial" w:cs="Arial" w:eastAsia="Arial" w:hAnsi="Arial"/>
          <w:sz w:val="15"/>
          <w:szCs w:val="15"/>
          <w:color w:val="auto"/>
        </w:rPr>
        <w:t>.</w:t>
      </w:r>
    </w:p>
    <w:p>
      <w:pPr>
        <w:spacing w:after="0" w:line="229"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7.13</w:t>
      </w:r>
      <w:r>
        <w:rPr>
          <w:sz w:val="20"/>
          <w:szCs w:val="20"/>
          <w:color w:val="auto"/>
        </w:rPr>
        <w:tab/>
      </w:r>
      <w:r>
        <w:rPr>
          <w:rFonts w:ascii="Arial" w:cs="Arial" w:eastAsia="Arial" w:hAnsi="Arial"/>
          <w:sz w:val="16"/>
          <w:szCs w:val="16"/>
          <w:b w:val="1"/>
          <w:bCs w:val="1"/>
          <w:color w:val="auto"/>
        </w:rPr>
        <w:t>Preferential Collection of Claims Against the Company</w:t>
      </w:r>
      <w:r>
        <w:rPr>
          <w:rFonts w:ascii="Arial" w:cs="Arial" w:eastAsia="Arial" w:hAnsi="Arial"/>
          <w:sz w:val="16"/>
          <w:szCs w:val="16"/>
          <w:color w:val="auto"/>
        </w:rPr>
        <w:t>.</w:t>
      </w:r>
    </w:p>
    <w:p>
      <w:pPr>
        <w:spacing w:after="0" w:line="229"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0"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7.14</w:t>
      </w:r>
      <w:r>
        <w:rPr>
          <w:sz w:val="20"/>
          <w:szCs w:val="20"/>
          <w:color w:val="auto"/>
        </w:rPr>
        <w:tab/>
      </w:r>
      <w:r>
        <w:rPr>
          <w:rFonts w:ascii="Arial" w:cs="Arial" w:eastAsia="Arial" w:hAnsi="Arial"/>
          <w:sz w:val="16"/>
          <w:szCs w:val="16"/>
          <w:b w:val="1"/>
          <w:bCs w:val="1"/>
          <w:color w:val="auto"/>
        </w:rPr>
        <w:t>Notice of Default</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 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8</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CONCERNING THE SECURITYHOLDERS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Evidence of Action by Securityholders</w:t>
      </w:r>
      <w:r>
        <w:rPr>
          <w:rFonts w:ascii="Arial" w:cs="Arial" w:eastAsia="Arial" w:hAnsi="Arial"/>
          <w:sz w:val="16"/>
          <w:szCs w:val="16"/>
          <w:color w:val="auto"/>
        </w:rPr>
        <w:t>.</w:t>
      </w:r>
    </w:p>
    <w:p>
      <w:pPr>
        <w:spacing w:after="0" w:line="229"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1"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8.02</w:t>
      </w:r>
      <w:r>
        <w:rPr>
          <w:sz w:val="20"/>
          <w:szCs w:val="20"/>
          <w:color w:val="auto"/>
        </w:rPr>
        <w:tab/>
      </w:r>
      <w:r>
        <w:rPr>
          <w:rFonts w:ascii="Arial" w:cs="Arial" w:eastAsia="Arial" w:hAnsi="Arial"/>
          <w:sz w:val="16"/>
          <w:szCs w:val="16"/>
          <w:b w:val="1"/>
          <w:bCs w:val="1"/>
          <w:color w:val="auto"/>
        </w:rPr>
        <w:t>Proof of Execution by Securityholders</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6" w:lineRule="exact"/>
        <w:rPr>
          <w:sz w:val="20"/>
          <w:szCs w:val="20"/>
          <w:color w:val="auto"/>
        </w:rPr>
      </w:pPr>
    </w:p>
    <w:p>
      <w:pPr>
        <w:ind w:left="1380" w:hanging="393"/>
        <w:spacing w:after="0"/>
        <w:tabs>
          <w:tab w:leader="none" w:pos="138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The fact and date of the execution by any such Person of any instrument may be proved in any reasonable manner acceptable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1380" w:hanging="393"/>
        <w:spacing w:after="0"/>
        <w:tabs>
          <w:tab w:leader="none" w:pos="138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The ownership of Securities shall be proved by the Security Register of such Securities or by a certificate of the Security Registrar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0" w:right="459" w:bottom="1440" w:gutter="0" w:footer="0" w:header="0"/>
        </w:sectPr>
      </w:pPr>
    </w:p>
    <w:bookmarkStart w:id="83" w:name="page84"/>
    <w:bookmarkEnd w:id="83"/>
    <w:p>
      <w:pPr>
        <w:ind w:left="440"/>
        <w:spacing w:after="0"/>
        <w:tabs>
          <w:tab w:leader="none" w:pos="1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8.03</w:t>
      </w:r>
      <w:r>
        <w:rPr>
          <w:sz w:val="20"/>
          <w:szCs w:val="20"/>
          <w:color w:val="auto"/>
        </w:rPr>
        <w:tab/>
      </w:r>
      <w:r>
        <w:rPr>
          <w:rFonts w:ascii="Arial" w:cs="Arial" w:eastAsia="Arial" w:hAnsi="Arial"/>
          <w:sz w:val="16"/>
          <w:szCs w:val="16"/>
          <w:b w:val="1"/>
          <w:bCs w:val="1"/>
          <w:color w:val="auto"/>
        </w:rPr>
        <w:t>Who May be Deemed Owners</w:t>
      </w:r>
      <w:r>
        <w:rPr>
          <w:rFonts w:ascii="Arial" w:cs="Arial" w:eastAsia="Arial" w:hAnsi="Arial"/>
          <w:sz w:val="16"/>
          <w:szCs w:val="16"/>
          <w:color w:val="auto"/>
        </w:rPr>
        <w:t>.</w:t>
      </w:r>
    </w:p>
    <w:p>
      <w:pPr>
        <w:spacing w:after="0" w:line="22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8"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Certain Securities Owned by Company Disregarded</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2"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8.05</w:t>
      </w:r>
      <w:r>
        <w:rPr>
          <w:sz w:val="20"/>
          <w:szCs w:val="20"/>
          <w:color w:val="auto"/>
        </w:rPr>
        <w:tab/>
      </w:r>
      <w:r>
        <w:rPr>
          <w:rFonts w:ascii="Arial" w:cs="Arial" w:eastAsia="Arial" w:hAnsi="Arial"/>
          <w:sz w:val="16"/>
          <w:szCs w:val="16"/>
          <w:b w:val="1"/>
          <w:bCs w:val="1"/>
          <w:color w:val="auto"/>
        </w:rPr>
        <w:t>Actions Binding on Future Securityholders</w:t>
      </w:r>
      <w:r>
        <w:rPr>
          <w:rFonts w:ascii="Arial" w:cs="Arial" w:eastAsia="Arial" w:hAnsi="Arial"/>
          <w:sz w:val="16"/>
          <w:szCs w:val="16"/>
          <w:color w:val="auto"/>
        </w:rPr>
        <w:t>.</w:t>
      </w:r>
    </w:p>
    <w:p>
      <w:pPr>
        <w:spacing w:after="0" w:line="229"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9</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6"/>
          <w:szCs w:val="16"/>
          <w:b w:val="1"/>
          <w:bCs w:val="1"/>
          <w:color w:val="auto"/>
        </w:rPr>
        <w:t>Supplemental Indentures Without the Consent of Securityholders</w:t>
      </w:r>
      <w:r>
        <w:rPr>
          <w:rFonts w:ascii="Arial" w:cs="Arial" w:eastAsia="Arial" w:hAnsi="Arial"/>
          <w:sz w:val="16"/>
          <w:szCs w:val="16"/>
          <w:color w:val="auto"/>
        </w:rPr>
        <w:t>.</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76" w:lineRule="exact"/>
        <w:rPr>
          <w:sz w:val="20"/>
          <w:szCs w:val="20"/>
          <w:color w:val="auto"/>
        </w:rPr>
      </w:pPr>
    </w:p>
    <w:p>
      <w:pPr>
        <w:ind w:left="1380" w:hanging="393"/>
        <w:spacing w:after="0"/>
        <w:tabs>
          <w:tab w:leader="none" w:pos="13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 cure any ambiguity, defect, or inconsistency herein or in the Securities of any series;</w:t>
      </w:r>
    </w:p>
    <w:p>
      <w:pPr>
        <w:spacing w:after="0" w:line="225" w:lineRule="exact"/>
        <w:rPr>
          <w:rFonts w:ascii="Arial" w:cs="Arial" w:eastAsia="Arial" w:hAnsi="Arial"/>
          <w:sz w:val="18"/>
          <w:szCs w:val="18"/>
          <w:b w:val="1"/>
          <w:bCs w:val="1"/>
          <w:color w:val="auto"/>
        </w:rPr>
      </w:pPr>
    </w:p>
    <w:p>
      <w:pPr>
        <w:ind w:left="1380" w:hanging="393"/>
        <w:spacing w:after="0"/>
        <w:tabs>
          <w:tab w:leader="none" w:pos="138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 comply with Article Ten;</w:t>
      </w:r>
    </w:p>
    <w:p>
      <w:pPr>
        <w:spacing w:after="0" w:line="225" w:lineRule="exact"/>
        <w:rPr>
          <w:rFonts w:ascii="Arial" w:cs="Arial" w:eastAsia="Arial" w:hAnsi="Arial"/>
          <w:sz w:val="18"/>
          <w:szCs w:val="18"/>
          <w:b w:val="1"/>
          <w:bCs w:val="1"/>
          <w:color w:val="auto"/>
        </w:rPr>
      </w:pPr>
    </w:p>
    <w:p>
      <w:pPr>
        <w:ind w:left="1360" w:hanging="373"/>
        <w:spacing w:after="0"/>
        <w:tabs>
          <w:tab w:leader="none" w:pos="136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b w:val="1"/>
          <w:bCs w:val="1"/>
          <w:color w:val="auto"/>
        </w:rPr>
      </w:pPr>
    </w:p>
    <w:p>
      <w:pPr>
        <w:ind w:right="20" w:firstLine="987"/>
        <w:spacing w:after="0" w:line="257" w:lineRule="auto"/>
        <w:tabs>
          <w:tab w:leader="none" w:pos="1391"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7" w:lineRule="exact"/>
        <w:rPr>
          <w:rFonts w:ascii="Arial" w:cs="Arial" w:eastAsia="Arial" w:hAnsi="Arial"/>
          <w:sz w:val="18"/>
          <w:szCs w:val="18"/>
          <w:b w:val="1"/>
          <w:bCs w:val="1"/>
          <w:color w:val="auto"/>
        </w:rPr>
      </w:pPr>
    </w:p>
    <w:p>
      <w:pPr>
        <w:ind w:right="240" w:firstLine="987"/>
        <w:spacing w:after="0" w:line="277" w:lineRule="auto"/>
        <w:tabs>
          <w:tab w:leader="none" w:pos="1371"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b w:val="1"/>
          <w:bCs w:val="1"/>
          <w:color w:val="auto"/>
        </w:rPr>
      </w:pPr>
    </w:p>
    <w:p>
      <w:pPr>
        <w:ind w:left="1340" w:hanging="353"/>
        <w:spacing w:after="0"/>
        <w:tabs>
          <w:tab w:leader="none" w:pos="134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b w:val="1"/>
          <w:bCs w:val="1"/>
          <w:color w:val="auto"/>
        </w:rPr>
      </w:pPr>
    </w:p>
    <w:p>
      <w:pPr>
        <w:ind w:left="1380" w:hanging="393"/>
        <w:spacing w:after="0"/>
        <w:tabs>
          <w:tab w:leader="none" w:pos="1380"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to provide for the issuance of and establish the form and terms and conditions of the Securities of any series as provided in</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Section 2.01, to establish the form of any certifications required to be furnished pursuant to the terms of this Indenture or any series of Securities, or to add to the rights of the holders of any series of Securities;</w:t>
      </w:r>
    </w:p>
    <w:p>
      <w:pPr>
        <w:spacing w:after="0" w:line="185" w:lineRule="exact"/>
        <w:rPr>
          <w:sz w:val="20"/>
          <w:szCs w:val="20"/>
          <w:color w:val="auto"/>
        </w:rPr>
      </w:pPr>
    </w:p>
    <w:p>
      <w:pPr>
        <w:ind w:left="1380" w:hanging="393"/>
        <w:spacing w:after="0"/>
        <w:tabs>
          <w:tab w:leader="none" w:pos="138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to evidence and provide for the acceptance of appointment hereunder by a successor trustee; or</w:t>
      </w:r>
    </w:p>
    <w:p>
      <w:pPr>
        <w:spacing w:after="0" w:line="225" w:lineRule="exact"/>
        <w:rPr>
          <w:rFonts w:ascii="Arial" w:cs="Arial" w:eastAsia="Arial" w:hAnsi="Arial"/>
          <w:sz w:val="18"/>
          <w:szCs w:val="18"/>
          <w:b w:val="1"/>
          <w:bCs w:val="1"/>
          <w:color w:val="auto"/>
        </w:rPr>
      </w:pPr>
    </w:p>
    <w:p>
      <w:pPr>
        <w:ind w:firstLine="987"/>
        <w:spacing w:after="0" w:line="277" w:lineRule="auto"/>
        <w:tabs>
          <w:tab w:leader="none" w:pos="1341"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440" w:top="270" w:right="539" w:bottom="1440" w:gutter="0" w:footer="0" w:header="0"/>
        </w:sectPr>
      </w:pPr>
    </w:p>
    <w:bookmarkStart w:id="85" w:name="page86"/>
    <w:bookmarkEnd w:id="85"/>
    <w:p>
      <w:pPr>
        <w:ind w:right="60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6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6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6"/>
          <w:szCs w:val="16"/>
          <w:b w:val="1"/>
          <w:bCs w:val="1"/>
          <w:color w:val="auto"/>
        </w:rPr>
        <w:t>Supplemental Indentures With Consent of Securityholders</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66"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9.03</w:t>
      </w:r>
      <w:r>
        <w:rPr>
          <w:sz w:val="20"/>
          <w:szCs w:val="20"/>
          <w:color w:val="auto"/>
        </w:rPr>
        <w:tab/>
      </w:r>
      <w:r>
        <w:rPr>
          <w:rFonts w:ascii="Arial" w:cs="Arial" w:eastAsia="Arial" w:hAnsi="Arial"/>
          <w:sz w:val="16"/>
          <w:szCs w:val="16"/>
          <w:b w:val="1"/>
          <w:bCs w:val="1"/>
          <w:color w:val="auto"/>
        </w:rPr>
        <w:t>Effect of Supplemental Indentures</w:t>
      </w:r>
      <w:r>
        <w:rPr>
          <w:rFonts w:ascii="Arial" w:cs="Arial" w:eastAsia="Arial" w:hAnsi="Arial"/>
          <w:sz w:val="16"/>
          <w:szCs w:val="16"/>
          <w:color w:val="auto"/>
        </w:rPr>
        <w:t>.</w:t>
      </w:r>
    </w:p>
    <w:p>
      <w:pPr>
        <w:spacing w:after="0" w:line="22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6"/>
          <w:szCs w:val="16"/>
          <w:b w:val="1"/>
          <w:bCs w:val="1"/>
          <w:color w:val="auto"/>
        </w:rPr>
        <w:t>Securities Affected by Supplemental Indentures</w:t>
      </w:r>
      <w:r>
        <w:rPr>
          <w:rFonts w:ascii="Arial" w:cs="Arial" w:eastAsia="Arial" w:hAnsi="Arial"/>
          <w:sz w:val="16"/>
          <w:szCs w:val="16"/>
          <w:color w:val="auto"/>
        </w:rPr>
        <w:t>.</w:t>
      </w:r>
    </w:p>
    <w:p>
      <w:pPr>
        <w:spacing w:after="0" w:line="229"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86" w:name="page87"/>
    <w:bookmarkEnd w:id="8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6"/>
          <w:szCs w:val="16"/>
          <w:b w:val="1"/>
          <w:bCs w:val="1"/>
          <w:color w:val="auto"/>
        </w:rPr>
        <w:t>Execution of Supplemental Indentures</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65"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 ENTITY</w:t>
      </w:r>
    </w:p>
    <w:p>
      <w:pPr>
        <w:spacing w:after="0" w:line="22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Company May Consolidate, Etc.</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87" w:name="page88"/>
    <w:bookmarkEnd w:id="87"/>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88"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10.02</w:t>
      </w:r>
      <w:r>
        <w:rPr>
          <w:sz w:val="20"/>
          <w:szCs w:val="20"/>
          <w:color w:val="auto"/>
        </w:rPr>
        <w:tab/>
      </w:r>
      <w:r>
        <w:rPr>
          <w:rFonts w:ascii="Arial" w:cs="Arial" w:eastAsia="Arial" w:hAnsi="Arial"/>
          <w:sz w:val="15"/>
          <w:szCs w:val="15"/>
          <w:b w:val="1"/>
          <w:bCs w:val="1"/>
          <w:color w:val="auto"/>
        </w:rPr>
        <w:t>Successor Entity Substituted</w:t>
      </w:r>
      <w:r>
        <w:rPr>
          <w:rFonts w:ascii="Arial" w:cs="Arial" w:eastAsia="Arial" w:hAnsi="Arial"/>
          <w:sz w:val="15"/>
          <w:szCs w:val="15"/>
          <w:color w:val="auto"/>
        </w:rPr>
        <w:t>.</w:t>
      </w:r>
    </w:p>
    <w:p>
      <w:pPr>
        <w:spacing w:after="0" w:line="229" w:lineRule="exact"/>
        <w:rPr>
          <w:sz w:val="20"/>
          <w:szCs w:val="20"/>
          <w:color w:val="auto"/>
        </w:rPr>
      </w:pPr>
    </w:p>
    <w:p>
      <w:pPr>
        <w:ind w:left="4" w:firstLine="987"/>
        <w:spacing w:after="0" w:line="257" w:lineRule="auto"/>
        <w:tabs>
          <w:tab w:leader="none" w:pos="1385"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Arial" w:cs="Arial" w:eastAsia="Arial" w:hAnsi="Arial"/>
          <w:sz w:val="18"/>
          <w:szCs w:val="18"/>
          <w:b w:val="1"/>
          <w:bCs w:val="1"/>
          <w:color w:val="auto"/>
        </w:rPr>
      </w:pPr>
    </w:p>
    <w:p>
      <w:pPr>
        <w:ind w:left="4" w:firstLine="987"/>
        <w:spacing w:after="0" w:line="277" w:lineRule="auto"/>
        <w:tabs>
          <w:tab w:leader="none" w:pos="1395"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b w:val="1"/>
          <w:bCs w:val="1"/>
          <w:color w:val="auto"/>
        </w:rPr>
      </w:pPr>
    </w:p>
    <w:p>
      <w:pPr>
        <w:ind w:left="4" w:right="20" w:firstLine="987"/>
        <w:spacing w:after="0" w:line="263" w:lineRule="auto"/>
        <w:tabs>
          <w:tab w:leader="none" w:pos="1375"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ind w:left="4064"/>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Satisfaction and Discharge of Indenture</w:t>
      </w:r>
      <w:r>
        <w:rPr>
          <w:rFonts w:ascii="Arial" w:cs="Arial" w:eastAsia="Arial" w:hAnsi="Arial"/>
          <w:sz w:val="16"/>
          <w:szCs w:val="16"/>
          <w:color w:val="auto"/>
        </w:rPr>
        <w:t>.</w:t>
      </w:r>
    </w:p>
    <w:p>
      <w:pPr>
        <w:spacing w:after="0" w:line="229"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1" w:lineRule="exact"/>
        <w:rPr>
          <w:sz w:val="20"/>
          <w:szCs w:val="20"/>
          <w:color w:val="auto"/>
        </w:rPr>
      </w:pPr>
    </w:p>
    <w:p>
      <w:pPr>
        <w:jc w:val="both"/>
        <w:ind w:left="4" w:right="120" w:hanging="4"/>
        <w:spacing w:after="0" w:line="253" w:lineRule="auto"/>
        <w:tabs>
          <w:tab w:leader="none" w:pos="25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4"/>
          </w:cols>
          <w:pgMar w:left="436" w:top="274" w:right="499" w:bottom="1440" w:gutter="0" w:footer="0" w:header="0"/>
        </w:sectPr>
      </w:pPr>
    </w:p>
    <w:bookmarkStart w:id="88" w:name="page89"/>
    <w:bookmarkEnd w:id="8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74"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11.02</w:t>
      </w:r>
      <w:r>
        <w:rPr>
          <w:sz w:val="20"/>
          <w:szCs w:val="20"/>
          <w:color w:val="auto"/>
        </w:rPr>
        <w:tab/>
      </w:r>
      <w:r>
        <w:rPr>
          <w:rFonts w:ascii="Arial" w:cs="Arial" w:eastAsia="Arial" w:hAnsi="Arial"/>
          <w:sz w:val="16"/>
          <w:szCs w:val="16"/>
          <w:b w:val="1"/>
          <w:bCs w:val="1"/>
          <w:color w:val="auto"/>
        </w:rPr>
        <w:t>Discharge of Obligations</w:t>
      </w:r>
      <w:r>
        <w:rPr>
          <w:rFonts w:ascii="Arial" w:cs="Arial" w:eastAsia="Arial" w:hAnsi="Arial"/>
          <w:sz w:val="16"/>
          <w:szCs w:val="16"/>
          <w:color w:val="auto"/>
        </w:rPr>
        <w:t>.</w:t>
      </w:r>
    </w:p>
    <w:p>
      <w:pPr>
        <w:spacing w:after="0" w:line="229"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Thereafter, Sections 7.06 and 11.05 shall survive.</w:t>
      </w:r>
    </w:p>
    <w:p>
      <w:pPr>
        <w:spacing w:after="0" w:line="221"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11.03</w:t>
      </w:r>
      <w:r>
        <w:rPr>
          <w:sz w:val="20"/>
          <w:szCs w:val="20"/>
          <w:color w:val="auto"/>
        </w:rPr>
        <w:tab/>
      </w:r>
      <w:r>
        <w:rPr>
          <w:rFonts w:ascii="Arial" w:cs="Arial" w:eastAsia="Arial" w:hAnsi="Arial"/>
          <w:sz w:val="16"/>
          <w:szCs w:val="16"/>
          <w:b w:val="1"/>
          <w:bCs w:val="1"/>
          <w:color w:val="auto"/>
        </w:rPr>
        <w:t>Deposited Moneys to be Held in Trust</w:t>
      </w:r>
      <w:r>
        <w:rPr>
          <w:rFonts w:ascii="Arial" w:cs="Arial" w:eastAsia="Arial" w:hAnsi="Arial"/>
          <w:sz w:val="16"/>
          <w:szCs w:val="16"/>
          <w:color w:val="auto"/>
        </w:rPr>
        <w:t>.</w:t>
      </w:r>
    </w:p>
    <w:p>
      <w:pPr>
        <w:spacing w:after="0" w:line="229"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11.04</w:t>
      </w:r>
      <w:r>
        <w:rPr>
          <w:sz w:val="20"/>
          <w:szCs w:val="20"/>
          <w:color w:val="auto"/>
        </w:rPr>
        <w:tab/>
      </w:r>
      <w:r>
        <w:rPr>
          <w:rFonts w:ascii="Arial" w:cs="Arial" w:eastAsia="Arial" w:hAnsi="Arial"/>
          <w:sz w:val="16"/>
          <w:szCs w:val="16"/>
          <w:b w:val="1"/>
          <w:bCs w:val="1"/>
          <w:color w:val="auto"/>
        </w:rPr>
        <w:t>Payment of Moneys Held by Paying Agents</w:t>
      </w:r>
      <w:r>
        <w:rPr>
          <w:rFonts w:ascii="Arial" w:cs="Arial" w:eastAsia="Arial" w:hAnsi="Arial"/>
          <w:sz w:val="16"/>
          <w:szCs w:val="16"/>
          <w:color w:val="auto"/>
        </w:rPr>
        <w:t>.</w:t>
      </w:r>
    </w:p>
    <w:p>
      <w:pPr>
        <w:spacing w:after="0" w:line="229"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89" w:name="page90"/>
    <w:bookmarkEnd w:id="89"/>
    <w:p>
      <w:pPr>
        <w:ind w:left="440"/>
        <w:spacing w:after="0"/>
        <w:tabs>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11.05</w:t>
      </w:r>
      <w:r>
        <w:rPr>
          <w:sz w:val="20"/>
          <w:szCs w:val="20"/>
          <w:color w:val="auto"/>
        </w:rPr>
        <w:tab/>
      </w:r>
      <w:r>
        <w:rPr>
          <w:rFonts w:ascii="Arial" w:cs="Arial" w:eastAsia="Arial" w:hAnsi="Arial"/>
          <w:sz w:val="16"/>
          <w:szCs w:val="16"/>
          <w:b w:val="1"/>
          <w:bCs w:val="1"/>
          <w:color w:val="auto"/>
        </w:rPr>
        <w:t>Repayment to Company</w:t>
      </w:r>
      <w:r>
        <w:rPr>
          <w:rFonts w:ascii="Arial" w:cs="Arial" w:eastAsia="Arial" w:hAnsi="Arial"/>
          <w:sz w:val="16"/>
          <w:szCs w:val="16"/>
          <w:color w:val="auto"/>
        </w:rPr>
        <w:t>.</w:t>
      </w:r>
    </w:p>
    <w:p>
      <w:pPr>
        <w:spacing w:after="0" w:line="229"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IMMUNITY OF INCORPORATORS, STOCKHOLDERS, OFFICERS AND DIRECTORS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12.01</w:t>
      </w:r>
      <w:r>
        <w:rPr>
          <w:sz w:val="20"/>
          <w:szCs w:val="20"/>
          <w:color w:val="auto"/>
        </w:rPr>
        <w:tab/>
      </w:r>
      <w:r>
        <w:rPr>
          <w:rFonts w:ascii="Arial" w:cs="Arial" w:eastAsia="Arial" w:hAnsi="Arial"/>
          <w:sz w:val="15"/>
          <w:szCs w:val="15"/>
          <w:b w:val="1"/>
          <w:bCs w:val="1"/>
          <w:color w:val="auto"/>
        </w:rPr>
        <w:t>No Recourse</w:t>
      </w:r>
      <w:r>
        <w:rPr>
          <w:rFonts w:ascii="Arial" w:cs="Arial" w:eastAsia="Arial" w:hAnsi="Arial"/>
          <w:sz w:val="15"/>
          <w:szCs w:val="15"/>
          <w:color w:val="auto"/>
        </w:rPr>
        <w:t>.</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0" w:right="45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13</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13.01</w:t>
      </w:r>
      <w:r>
        <w:rPr>
          <w:sz w:val="20"/>
          <w:szCs w:val="20"/>
          <w:color w:val="auto"/>
        </w:rPr>
        <w:tab/>
      </w:r>
      <w:r>
        <w:rPr>
          <w:rFonts w:ascii="Arial" w:cs="Arial" w:eastAsia="Arial" w:hAnsi="Arial"/>
          <w:sz w:val="15"/>
          <w:szCs w:val="15"/>
          <w:b w:val="1"/>
          <w:bCs w:val="1"/>
          <w:color w:val="auto"/>
        </w:rPr>
        <w:t>Effect on Successors and Assigns</w:t>
      </w:r>
      <w:r>
        <w:rPr>
          <w:rFonts w:ascii="Arial" w:cs="Arial" w:eastAsia="Arial" w:hAnsi="Arial"/>
          <w:sz w:val="15"/>
          <w:szCs w:val="15"/>
          <w:color w:val="auto"/>
        </w:rPr>
        <w:t>.</w:t>
      </w:r>
    </w:p>
    <w:p>
      <w:pPr>
        <w:spacing w:after="0" w:line="229"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66"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Actions by Successor</w:t>
      </w:r>
      <w:r>
        <w:rPr>
          <w:rFonts w:ascii="Arial" w:cs="Arial" w:eastAsia="Arial" w:hAnsi="Arial"/>
          <w:sz w:val="15"/>
          <w:szCs w:val="15"/>
          <w:color w:val="auto"/>
        </w:rPr>
        <w:t>.</w:t>
      </w:r>
    </w:p>
    <w:p>
      <w:pPr>
        <w:spacing w:after="0" w:line="229"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0"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Surrender of Company Powers</w:t>
      </w:r>
      <w:r>
        <w:rPr>
          <w:rFonts w:ascii="Arial" w:cs="Arial" w:eastAsia="Arial" w:hAnsi="Arial"/>
          <w:sz w:val="16"/>
          <w:szCs w:val="16"/>
          <w:color w:val="auto"/>
        </w:rPr>
        <w:t>.</w:t>
      </w:r>
    </w:p>
    <w:p>
      <w:pPr>
        <w:spacing w:after="0" w:line="229"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0"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-306705</wp:posOffset>
            </wp:positionV>
            <wp:extent cx="571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6"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Governing Law; Jury Trial Waiver</w:t>
      </w:r>
      <w:r>
        <w:rPr>
          <w:rFonts w:ascii="Arial" w:cs="Arial" w:eastAsia="Arial" w:hAnsi="Arial"/>
          <w:sz w:val="16"/>
          <w:szCs w:val="16"/>
          <w:color w:val="auto"/>
        </w:rPr>
        <w:t>.</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0" w:right="479" w:bottom="1440" w:gutter="0" w:footer="0" w:header="0"/>
        </w:sectPr>
      </w:pPr>
    </w:p>
    <w:bookmarkStart w:id="91" w:name="page92"/>
    <w:bookmarkEnd w:id="91"/>
    <w:p>
      <w:pPr>
        <w:ind w:left="444"/>
        <w:spacing w:after="0"/>
        <w:tabs>
          <w:tab w:leader="none" w:pos="16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13.06</w:t>
      </w:r>
      <w:r>
        <w:rPr>
          <w:sz w:val="20"/>
          <w:szCs w:val="20"/>
          <w:color w:val="auto"/>
        </w:rPr>
        <w:tab/>
      </w:r>
      <w:r>
        <w:rPr>
          <w:rFonts w:ascii="Arial" w:cs="Arial" w:eastAsia="Arial" w:hAnsi="Arial"/>
          <w:sz w:val="16"/>
          <w:szCs w:val="16"/>
          <w:b w:val="1"/>
          <w:bCs w:val="1"/>
          <w:color w:val="auto"/>
        </w:rPr>
        <w:t>Treatment of Securities as Debt</w:t>
      </w:r>
      <w:r>
        <w:rPr>
          <w:rFonts w:ascii="Arial" w:cs="Arial" w:eastAsia="Arial" w:hAnsi="Arial"/>
          <w:sz w:val="16"/>
          <w:szCs w:val="16"/>
          <w:color w:val="auto"/>
        </w:rPr>
        <w:t>.</w:t>
      </w:r>
    </w:p>
    <w:p>
      <w:pPr>
        <w:spacing w:after="0" w:line="229"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66"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13.07</w:t>
      </w:r>
      <w:r>
        <w:rPr>
          <w:sz w:val="20"/>
          <w:szCs w:val="20"/>
          <w:color w:val="auto"/>
        </w:rPr>
        <w:tab/>
      </w:r>
      <w:r>
        <w:rPr>
          <w:rFonts w:ascii="Arial" w:cs="Arial" w:eastAsia="Arial" w:hAnsi="Arial"/>
          <w:sz w:val="16"/>
          <w:szCs w:val="16"/>
          <w:b w:val="1"/>
          <w:bCs w:val="1"/>
          <w:color w:val="auto"/>
        </w:rPr>
        <w:t>Certificates and Opinions as to Conditions Precedent</w:t>
      </w:r>
      <w:r>
        <w:rPr>
          <w:rFonts w:ascii="Arial" w:cs="Arial" w:eastAsia="Arial" w:hAnsi="Arial"/>
          <w:sz w:val="16"/>
          <w:szCs w:val="16"/>
          <w:color w:val="auto"/>
        </w:rPr>
        <w:t>.</w:t>
      </w:r>
    </w:p>
    <w:p>
      <w:pPr>
        <w:spacing w:after="0" w:line="229" w:lineRule="exact"/>
        <w:rPr>
          <w:sz w:val="20"/>
          <w:szCs w:val="20"/>
          <w:color w:val="auto"/>
        </w:rPr>
      </w:pPr>
    </w:p>
    <w:p>
      <w:pPr>
        <w:ind w:left="4" w:firstLine="987"/>
        <w:spacing w:after="0" w:line="255" w:lineRule="auto"/>
        <w:tabs>
          <w:tab w:leader="none" w:pos="1385"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rFonts w:ascii="Arial" w:cs="Arial" w:eastAsia="Arial" w:hAnsi="Arial"/>
          <w:sz w:val="18"/>
          <w:szCs w:val="18"/>
          <w:b w:val="1"/>
          <w:bCs w:val="1"/>
          <w:color w:val="auto"/>
        </w:rPr>
      </w:pPr>
    </w:p>
    <w:p>
      <w:pPr>
        <w:ind w:left="4" w:right="100" w:firstLine="987"/>
        <w:spacing w:after="0" w:line="286" w:lineRule="auto"/>
        <w:tabs>
          <w:tab w:leader="none" w:pos="1395" w:val="left"/>
        </w:tabs>
        <w:numPr>
          <w:ilvl w:val="1"/>
          <w:numId w:val="83"/>
        </w:numPr>
        <w:rPr>
          <w:rFonts w:ascii="Arial" w:cs="Arial" w:eastAsia="Arial" w:hAnsi="Arial"/>
          <w:sz w:val="16"/>
          <w:szCs w:val="16"/>
          <w:b w:val="1"/>
          <w:bCs w:val="1"/>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spacing w:after="0" w:line="1" w:lineRule="exact"/>
        <w:rPr>
          <w:rFonts w:ascii="Arial" w:cs="Arial" w:eastAsia="Arial" w:hAnsi="Arial"/>
          <w:sz w:val="16"/>
          <w:szCs w:val="16"/>
          <w:b w:val="1"/>
          <w:bCs w:val="1"/>
          <w:color w:val="auto"/>
        </w:rPr>
      </w:pPr>
    </w:p>
    <w:p>
      <w:pPr>
        <w:ind w:left="4" w:right="40" w:hanging="4"/>
        <w:spacing w:after="0" w:line="255" w:lineRule="auto"/>
        <w:tabs>
          <w:tab w:leader="none" w:pos="3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6"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13.08</w:t>
      </w:r>
      <w:r>
        <w:rPr>
          <w:sz w:val="20"/>
          <w:szCs w:val="20"/>
          <w:color w:val="auto"/>
        </w:rPr>
        <w:tab/>
      </w:r>
      <w:r>
        <w:rPr>
          <w:rFonts w:ascii="Arial" w:cs="Arial" w:eastAsia="Arial" w:hAnsi="Arial"/>
          <w:sz w:val="15"/>
          <w:szCs w:val="15"/>
          <w:b w:val="1"/>
          <w:bCs w:val="1"/>
          <w:color w:val="auto"/>
        </w:rPr>
        <w:t>Payments on Business Days</w:t>
      </w:r>
      <w:r>
        <w:rPr>
          <w:rFonts w:ascii="Arial" w:cs="Arial" w:eastAsia="Arial" w:hAnsi="Arial"/>
          <w:sz w:val="15"/>
          <w:szCs w:val="15"/>
          <w:color w:val="auto"/>
        </w:rPr>
        <w:t>.</w:t>
      </w:r>
    </w:p>
    <w:p>
      <w:pPr>
        <w:spacing w:after="0" w:line="229"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84" w:lineRule="exact"/>
        <w:rPr>
          <w:sz w:val="20"/>
          <w:szCs w:val="20"/>
          <w:color w:val="auto"/>
        </w:rPr>
      </w:pPr>
    </w:p>
    <w:p>
      <w:pPr>
        <w:ind w:left="444"/>
        <w:spacing w:after="0"/>
        <w:tabs>
          <w:tab w:leader="none" w:pos="1604"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Conflict with Trust Indenture Act</w:t>
      </w:r>
      <w:r>
        <w:rPr>
          <w:rFonts w:ascii="Arial" w:cs="Arial" w:eastAsia="Arial" w:hAnsi="Arial"/>
          <w:sz w:val="16"/>
          <w:szCs w:val="16"/>
          <w:color w:val="auto"/>
        </w:rPr>
        <w:t>.</w:t>
      </w:r>
    </w:p>
    <w:p>
      <w:pPr>
        <w:spacing w:after="0" w:line="229"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 318(c) of the Trust Indenture Act, such imposed duties shall control.</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0" w:right="459" w:bottom="1440" w:gutter="0" w:footer="0" w:header="0"/>
        </w:sectPr>
      </w:pPr>
    </w:p>
    <w:bookmarkStart w:id="92" w:name="page93"/>
    <w:bookmarkEnd w:id="92"/>
    <w:p>
      <w:pPr>
        <w:ind w:left="440"/>
        <w:spacing w:after="0"/>
        <w:tabs>
          <w:tab w:leader="none" w:pos="1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13.10</w:t>
      </w:r>
      <w:r>
        <w:rPr>
          <w:sz w:val="20"/>
          <w:szCs w:val="20"/>
          <w:color w:val="auto"/>
        </w:rPr>
        <w:tab/>
      </w:r>
      <w:r>
        <w:rPr>
          <w:rFonts w:ascii="Arial" w:cs="Arial" w:eastAsia="Arial" w:hAnsi="Arial"/>
          <w:sz w:val="16"/>
          <w:szCs w:val="16"/>
          <w:b w:val="1"/>
          <w:bCs w:val="1"/>
          <w:color w:val="auto"/>
        </w:rPr>
        <w:t>Counterparts</w:t>
      </w:r>
      <w:r>
        <w:rPr>
          <w:rFonts w:ascii="Arial" w:cs="Arial" w:eastAsia="Arial" w:hAnsi="Arial"/>
          <w:sz w:val="16"/>
          <w:szCs w:val="16"/>
          <w:color w:val="auto"/>
        </w:rPr>
        <w:t>.</w:t>
      </w:r>
    </w:p>
    <w:p>
      <w:pPr>
        <w:spacing w:after="0" w:line="229"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67"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13.11</w:t>
      </w:r>
      <w:r>
        <w:rPr>
          <w:sz w:val="20"/>
          <w:szCs w:val="20"/>
          <w:color w:val="auto"/>
        </w:rPr>
        <w:tab/>
      </w:r>
      <w:r>
        <w:rPr>
          <w:rFonts w:ascii="Arial" w:cs="Arial" w:eastAsia="Arial" w:hAnsi="Arial"/>
          <w:sz w:val="16"/>
          <w:szCs w:val="16"/>
          <w:b w:val="1"/>
          <w:bCs w:val="1"/>
          <w:color w:val="auto"/>
        </w:rPr>
        <w:t>Separability</w:t>
      </w:r>
      <w:r>
        <w:rPr>
          <w:rFonts w:ascii="Arial" w:cs="Arial" w:eastAsia="Arial" w:hAnsi="Arial"/>
          <w:sz w:val="16"/>
          <w:szCs w:val="16"/>
          <w:color w:val="auto"/>
        </w:rPr>
        <w:t>.</w:t>
      </w:r>
    </w:p>
    <w:p>
      <w:pPr>
        <w:spacing w:after="0" w:line="229" w:lineRule="exact"/>
        <w:rPr>
          <w:sz w:val="20"/>
          <w:szCs w:val="20"/>
          <w:color w:val="auto"/>
        </w:rPr>
      </w:pPr>
    </w:p>
    <w:p>
      <w:pPr>
        <w:jc w:val="both"/>
        <w:ind w:right="240" w:firstLine="440"/>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3"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13.12</w:t>
      </w:r>
      <w:r>
        <w:rPr>
          <w:sz w:val="20"/>
          <w:szCs w:val="20"/>
          <w:color w:val="auto"/>
        </w:rPr>
        <w:tab/>
      </w:r>
      <w:r>
        <w:rPr>
          <w:rFonts w:ascii="Arial" w:cs="Arial" w:eastAsia="Arial" w:hAnsi="Arial"/>
          <w:sz w:val="16"/>
          <w:szCs w:val="16"/>
          <w:b w:val="1"/>
          <w:bCs w:val="1"/>
          <w:color w:val="auto"/>
        </w:rPr>
        <w:t>Compliance Certificates</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3"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U.S.A Patriot Act</w:t>
      </w:r>
      <w:r>
        <w:rPr>
          <w:rFonts w:ascii="Arial" w:cs="Arial" w:eastAsia="Arial" w:hAnsi="Arial"/>
          <w:sz w:val="16"/>
          <w:szCs w:val="16"/>
          <w:color w:val="auto"/>
        </w:rPr>
        <w:t>.</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67"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13.14</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229"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93" w:name="page94"/>
    <w:bookmarkEnd w:id="93"/>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80" w:lineRule="exact"/>
        <w:rPr>
          <w:sz w:val="20"/>
          <w:szCs w:val="20"/>
          <w:color w:val="auto"/>
        </w:rPr>
      </w:pPr>
    </w:p>
    <w:p>
      <w:pPr>
        <w:ind w:left="440"/>
        <w:spacing w:after="0"/>
        <w:tabs>
          <w:tab w:leader="none" w:pos="160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Table of Contents; Headings.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60"/>
          </w:cols>
          <w:pgMar w:left="440" w:top="274" w:right="89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color w:val="auto"/>
        </w:rPr>
        <w:t>, the parties hereto have caused this Indenture to be duly executed all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RUSTEE</w:t>
      </w:r>
      <w:r>
        <w:rPr>
          <w:rFonts w:ascii="Arial" w:cs="Arial" w:eastAsia="Arial" w:hAnsi="Arial"/>
          <w:sz w:val="18"/>
          <w:szCs w:val="18"/>
          <w:b w:val="1"/>
          <w:bCs w:val="1"/>
          <w:color w:val="auto"/>
        </w:rPr>
        <w:t>]</w:t>
      </w:r>
      <w:r>
        <w:rPr>
          <w:rFonts w:ascii="Arial" w:cs="Arial" w:eastAsia="Arial" w:hAnsi="Arial"/>
          <w:sz w:val="18"/>
          <w:szCs w:val="18"/>
          <w:color w:val="auto"/>
        </w:rPr>
        <w:t>, as Trustee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780"/>
          </w:cols>
          <w:pgMar w:left="880" w:top="270" w:right="1239" w:bottom="1440" w:gutter="0" w:footer="0" w:header="0"/>
        </w:sectPr>
      </w:pPr>
    </w:p>
    <w:bookmarkStart w:id="95" w:name="page96"/>
    <w:bookmarkEnd w:id="9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CROSS-REFERENCE TABLE (1)</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Section of Trust Indenture Act of 1939, as Amended</w:t>
            </w:r>
          </w:p>
        </w:tc>
        <w:tc>
          <w:tcPr>
            <w:tcW w:w="6400" w:type="dxa"/>
            <w:vAlign w:val="bottom"/>
          </w:tcPr>
          <w:p>
            <w:pPr>
              <w:spacing w:after="0"/>
              <w:rPr>
                <w:sz w:val="16"/>
                <w:szCs w:val="16"/>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7"/>
              </w:rPr>
              <w:t>Section of Indenture</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6400" w:type="dxa"/>
            <w:vAlign w:val="bottom"/>
          </w:tcPr>
          <w:p>
            <w:pPr>
              <w:spacing w:after="0"/>
              <w:rPr>
                <w:sz w:val="16"/>
                <w:szCs w:val="16"/>
                <w:color w:val="auto"/>
              </w:rPr>
            </w:pPr>
          </w:p>
        </w:tc>
        <w:tc>
          <w:tcPr>
            <w:tcW w:w="1440" w:type="dxa"/>
            <w:vAlign w:val="bottom"/>
          </w:tcPr>
          <w:p>
            <w:pPr>
              <w:spacing w:after="0" w:line="189" w:lineRule="exact"/>
              <w:rPr>
                <w:sz w:val="20"/>
                <w:szCs w:val="20"/>
                <w:color w:val="auto"/>
              </w:rPr>
            </w:pPr>
            <w:r>
              <w:rPr>
                <w:rFonts w:ascii="Arial" w:cs="Arial" w:eastAsia="Arial" w:hAnsi="Arial"/>
                <w:sz w:val="18"/>
                <w:szCs w:val="18"/>
                <w:color w:val="auto"/>
              </w:rPr>
              <w:t>7.09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310(b)</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7.08</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7.10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310(c)</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311(a)</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7.13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311(b)</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7.13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311(c)</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312(a)</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5.01</w:t>
            </w:r>
          </w:p>
        </w:tc>
      </w:tr>
      <w:tr>
        <w:trPr>
          <w:trHeight w:val="216"/>
        </w:trPr>
        <w:tc>
          <w:tcPr>
            <w:tcW w:w="31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5.02(a)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312(b)</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312(c)</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313(a)</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5.04(a)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313(b)</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313(c)</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5.04(a)</w:t>
            </w:r>
          </w:p>
        </w:tc>
      </w:tr>
      <w:tr>
        <w:trPr>
          <w:trHeight w:val="216"/>
        </w:trPr>
        <w:tc>
          <w:tcPr>
            <w:tcW w:w="31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313(d)</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5.04(c)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314(a)</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5.03</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13.12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314(b)</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314(c)</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13.07(a)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314(d)</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314(e)</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13.07(b)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314(f)</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315(a)</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7.01(a)</w:t>
            </w:r>
          </w:p>
        </w:tc>
      </w:tr>
      <w:tr>
        <w:trPr>
          <w:trHeight w:val="216"/>
        </w:trPr>
        <w:tc>
          <w:tcPr>
            <w:tcW w:w="318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315(b)</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7.14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315(c)</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7.01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315(d)</w:t>
            </w:r>
          </w:p>
        </w:tc>
        <w:tc>
          <w:tcPr>
            <w:tcW w:w="64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315(e)</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6.07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316(a)</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6.06</w:t>
            </w:r>
          </w:p>
        </w:tc>
      </w:tr>
      <w:tr>
        <w:trPr>
          <w:trHeight w:val="216"/>
        </w:trPr>
        <w:tc>
          <w:tcPr>
            <w:tcW w:w="3180" w:type="dxa"/>
            <w:vAlign w:val="bottom"/>
          </w:tcPr>
          <w:p>
            <w:pPr>
              <w:spacing w:after="0"/>
              <w:rPr>
                <w:sz w:val="18"/>
                <w:szCs w:val="18"/>
                <w:color w:val="auto"/>
              </w:rPr>
            </w:pP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8.04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316(b)</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6.04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316(c)</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8.01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317(a)</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6.02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317(b)</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4.03</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318(a)</w:t>
            </w:r>
          </w:p>
        </w:tc>
        <w:tc>
          <w:tcPr>
            <w:tcW w:w="7840" w:type="dxa"/>
            <w:vAlign w:val="bottom"/>
            <w:gridSpan w:val="2"/>
          </w:tcPr>
          <w:p>
            <w:pPr>
              <w:ind w:left="6400"/>
              <w:spacing w:after="0"/>
              <w:rPr>
                <w:sz w:val="20"/>
                <w:szCs w:val="20"/>
                <w:color w:val="auto"/>
              </w:rPr>
            </w:pPr>
            <w:r>
              <w:rPr>
                <w:rFonts w:ascii="Arial" w:cs="Arial" w:eastAsia="Arial" w:hAnsi="Arial"/>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380" w:hanging="424"/>
        <w:spacing w:after="0" w:line="277" w:lineRule="auto"/>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70" w:right="4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AND</w:t>
      </w:r>
    </w:p>
    <w:p>
      <w:pPr>
        <w:spacing w:after="0" w:line="202" w:lineRule="exact"/>
        <w:rPr>
          <w:sz w:val="20"/>
          <w:szCs w:val="20"/>
          <w:color w:val="auto"/>
        </w:rPr>
      </w:pPr>
    </w:p>
    <w:p>
      <w:pPr>
        <w:ind w:left="4360" w:hanging="88"/>
        <w:spacing w:after="0"/>
        <w:tabs>
          <w:tab w:leader="none" w:pos="43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A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 OF</w:t>
      </w:r>
    </w:p>
    <w:p>
      <w:pPr>
        <w:sectPr>
          <w:pgSz w:w="11900" w:h="16838" w:orient="portrait"/>
          <w:cols w:equalWidth="0" w:num="1">
            <w:col w:w="10020"/>
          </w:cols>
          <w:pgMar w:left="1440" w:top="121" w:right="4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A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LASS</w:t>
      </w:r>
      <w:r>
        <w:rPr>
          <w:rFonts w:ascii="Arial" w:cs="Arial" w:eastAsia="Arial" w:hAnsi="Arial"/>
          <w:sz w:val="18"/>
          <w:szCs w:val="18"/>
          <w:b w:val="1"/>
          <w:bCs w:val="1"/>
          <w:color w:val="auto"/>
        </w:rPr>
        <w:t xml:space="preserve"> A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 a [corporation] [national banking association] organized and existing under the laws of [●]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20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proposes to sell [If Warrants are sold with other securities—[title of such other securities being offered] (the “</w:t>
      </w: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with] warrant certificates evidencing one or more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or, individually,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representing the right to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of the Company, par value $0.001 per share (the “</w:t>
      </w:r>
      <w:r>
        <w:rPr>
          <w:rFonts w:ascii="Arial" w:cs="Arial" w:eastAsia="Arial" w:hAnsi="Arial"/>
          <w:sz w:val="18"/>
          <w:szCs w:val="18"/>
          <w:b w:val="1"/>
          <w:bCs w:val="1"/>
          <w:i w:val="1"/>
          <w:iCs w:val="1"/>
          <w:color w:val="auto"/>
        </w:rPr>
        <w:t>Warrant Securities</w:t>
      </w:r>
      <w:r>
        <w:rPr>
          <w:rFonts w:ascii="Arial" w:cs="Arial" w:eastAsia="Arial" w:hAnsi="Arial"/>
          <w:sz w:val="18"/>
          <w:szCs w:val="18"/>
          <w:color w:val="auto"/>
        </w:rPr>
        <w:t>”), such warrant certificates and other warrant certificates issued pursuant to this Agreement being herein called the “</w:t>
      </w:r>
      <w:r>
        <w:rPr>
          <w:rFonts w:ascii="Arial" w:cs="Arial" w:eastAsia="Arial" w:hAnsi="Arial"/>
          <w:sz w:val="18"/>
          <w:szCs w:val="18"/>
          <w:b w:val="1"/>
          <w:bCs w:val="1"/>
          <w:i w:val="1"/>
          <w:iCs w:val="1"/>
          <w:color w:val="auto"/>
        </w:rPr>
        <w:t>Warrant Certificates</w:t>
      </w:r>
      <w:r>
        <w:rPr>
          <w:rFonts w:ascii="Arial" w:cs="Arial" w:eastAsia="Arial" w:hAnsi="Arial"/>
          <w:sz w:val="18"/>
          <w:szCs w:val="18"/>
          <w:color w:val="auto"/>
        </w:rPr>
        <w:t>”; and</w:t>
      </w:r>
    </w:p>
    <w:p>
      <w:pPr>
        <w:spacing w:after="0" w:line="180"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desires the Warrant Agent to act on behalf of the Company, and the Warrant Agent is willing so to act,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Securities and Warrants</w:t>
      </w:r>
      <w:r>
        <w:rPr>
          <w:rFonts w:ascii="Arial" w:cs="Arial" w:eastAsia="Arial" w:hAnsi="Arial"/>
          <w:sz w:val="16"/>
          <w:szCs w:val="16"/>
          <w:color w:val="auto"/>
        </w:rPr>
        <w:t>—Warrant Certificates will be issued in connection with the issuance of the Other Securities but shall be separately transferable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each Warrant 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1.2 Execution and Delivery of Warrant Certificates. </w:t>
      </w:r>
      <w:r>
        <w:rPr>
          <w:rFonts w:ascii="Arial" w:cs="Arial" w:eastAsia="Arial" w:hAnsi="Arial"/>
          <w:sz w:val="17"/>
          <w:szCs w:val="17"/>
          <w:color w:val="auto"/>
        </w:rPr>
        <w:t>Each Warrant Certificate, whenever issued, shall be in registered form substantially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form set forth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98" w:name="page99"/>
    <w:bookmarkEnd w:id="98"/>
    <w:p>
      <w:pPr>
        <w:jc w:val="both"/>
        <w:ind w:right="2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4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2.1 Warrant Price. </w:t>
      </w:r>
      <w:r>
        <w:rPr>
          <w:rFonts w:ascii="Arial" w:cs="Arial" w:eastAsia="Arial" w:hAnsi="Arial"/>
          <w:sz w:val="18"/>
          <w:szCs w:val="18"/>
          <w:color w:val="auto"/>
        </w:rPr>
        <w:t>During the period specified in Section 2.2, each Warrant shall, subject to the terms of this Agreement and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w:t>
      </w:r>
    </w:p>
    <w:p>
      <w:pPr>
        <w:spacing w:after="0" w:line="18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2.2 Duration of Warrants. </w:t>
      </w:r>
      <w:r>
        <w:rPr>
          <w:rFonts w:ascii="Arial" w:cs="Arial" w:eastAsia="Arial" w:hAnsi="Arial"/>
          <w:sz w:val="18"/>
          <w:szCs w:val="18"/>
          <w:color w:val="auto"/>
        </w:rPr>
        <w:t>Each Warrant may be exercised in whole or in part at any time, as specified herein, on or after [the date thereof] [●]</w:t>
      </w:r>
      <w:r>
        <w:rPr>
          <w:rFonts w:ascii="Arial" w:cs="Arial" w:eastAsia="Arial" w:hAnsi="Arial"/>
          <w:sz w:val="18"/>
          <w:szCs w:val="18"/>
          <w:b w:val="1"/>
          <w:bCs w:val="1"/>
          <w:color w:val="auto"/>
        </w:rPr>
        <w:t xml:space="preserve"> </w:t>
      </w:r>
      <w:r>
        <w:rPr>
          <w:rFonts w:ascii="Arial" w:cs="Arial" w:eastAsia="Arial" w:hAnsi="Arial"/>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Exercise of Warrants.</w:t>
      </w:r>
    </w:p>
    <w:p>
      <w:pPr>
        <w:spacing w:after="0" w:line="229" w:lineRule="exact"/>
        <w:rPr>
          <w:sz w:val="20"/>
          <w:szCs w:val="20"/>
          <w:color w:val="auto"/>
        </w:rPr>
      </w:pPr>
    </w:p>
    <w:p>
      <w:pPr>
        <w:ind w:right="80" w:firstLine="987"/>
        <w:spacing w:after="0" w:line="296" w:lineRule="auto"/>
        <w:tabs>
          <w:tab w:leader="none" w:pos="1381"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99" w:name="page100"/>
    <w:bookmarkEnd w:id="99"/>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86" w:lineRule="exact"/>
        <w:rPr>
          <w:sz w:val="20"/>
          <w:szCs w:val="20"/>
          <w:color w:val="auto"/>
        </w:rPr>
      </w:pPr>
    </w:p>
    <w:p>
      <w:pPr>
        <w:ind w:right="120" w:firstLine="987"/>
        <w:spacing w:after="0" w:line="301" w:lineRule="auto"/>
        <w:tabs>
          <w:tab w:leader="none" w:pos="1388"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57" w:lineRule="exact"/>
        <w:rPr>
          <w:rFonts w:ascii="Arial" w:cs="Arial" w:eastAsia="Arial" w:hAnsi="Arial"/>
          <w:sz w:val="16"/>
          <w:szCs w:val="16"/>
          <w:b w:val="1"/>
          <w:bCs w:val="1"/>
          <w:color w:val="auto"/>
        </w:rPr>
      </w:pPr>
    </w:p>
    <w:p>
      <w:pPr>
        <w:ind w:right="20" w:firstLine="987"/>
        <w:spacing w:after="0" w:line="257" w:lineRule="auto"/>
        <w:tabs>
          <w:tab w:leader="none" w:pos="1361"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7" w:lineRule="exact"/>
        <w:rPr>
          <w:rFonts w:ascii="Arial" w:cs="Arial" w:eastAsia="Arial" w:hAnsi="Arial"/>
          <w:sz w:val="18"/>
          <w:szCs w:val="18"/>
          <w:b w:val="1"/>
          <w:bCs w:val="1"/>
          <w:color w:val="auto"/>
        </w:rPr>
      </w:pPr>
    </w:p>
    <w:p>
      <w:pPr>
        <w:ind w:firstLine="987"/>
        <w:spacing w:after="0" w:line="259" w:lineRule="auto"/>
        <w:tabs>
          <w:tab w:leader="none" w:pos="1388"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right="120" w:firstLine="987"/>
        <w:spacing w:after="0" w:line="342" w:lineRule="auto"/>
        <w:tabs>
          <w:tab w:leader="none" w:pos="1371"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3.1 No Rights as Warrant Securityholder Conferred by Warrants or Warrant Certificates. </w:t>
      </w:r>
      <w:r>
        <w:rPr>
          <w:rFonts w:ascii="Arial" w:cs="Arial" w:eastAsia="Arial" w:hAnsi="Arial"/>
          <w:sz w:val="18"/>
          <w:szCs w:val="18"/>
          <w:color w:val="auto"/>
        </w:rPr>
        <w:t>No Warrant Certificate or Warrant evidenced</w:t>
      </w:r>
      <w:r>
        <w:rPr>
          <w:rFonts w:ascii="Arial" w:cs="Arial" w:eastAsia="Arial" w:hAnsi="Arial"/>
          <w:sz w:val="18"/>
          <w:szCs w:val="18"/>
          <w:b w:val="1"/>
          <w:bCs w:val="1"/>
          <w:color w:val="auto"/>
        </w:rPr>
        <w:t xml:space="preserve"> </w:t>
      </w:r>
      <w:r>
        <w:rPr>
          <w:rFonts w:ascii="Arial" w:cs="Arial" w:eastAsia="Arial" w:hAnsi="Arial"/>
          <w:sz w:val="18"/>
          <w:szCs w:val="18"/>
          <w:color w:val="auto"/>
        </w:rPr>
        <w:t>thereby shall entitle the holder thereof to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00" w:name="page101"/>
    <w:bookmarkEnd w:id="100"/>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20"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b w:val="1"/>
          <w:bCs w:val="1"/>
          <w:color w:val="auto"/>
        </w:rPr>
        <w:t xml:space="preserve">3.2 Lost, Stolen, Mutilated or Destroyed Warrant Certificates. </w:t>
      </w:r>
      <w:r>
        <w:rPr>
          <w:rFonts w:ascii="Arial" w:cs="Arial" w:eastAsia="Arial" w:hAnsi="Arial"/>
          <w:sz w:val="16"/>
          <w:szCs w:val="16"/>
          <w:color w:val="auto"/>
        </w:rPr>
        <w:t>Upon receipt by the Warrant Agent of evidence reasonably satisfactory to it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64"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 xml:space="preserve">3.3 Holder of Warrant Certificate May Enforce Rights. </w:t>
      </w:r>
      <w:r>
        <w:rPr>
          <w:rFonts w:ascii="Arial" w:cs="Arial" w:eastAsia="Arial" w:hAnsi="Arial"/>
          <w:sz w:val="18"/>
          <w:szCs w:val="18"/>
          <w:color w:val="auto"/>
        </w:rPr>
        <w:t>Notwithstanding any of the provisions of this Agreement, any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ind w:firstLine="987"/>
        <w:spacing w:after="0" w:line="275" w:lineRule="auto"/>
        <w:tabs>
          <w:tab w:leader="none" w:pos="1381"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In case the Company shall at any time subdivide its outstanding shares of Class A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Class A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76" w:lineRule="exact"/>
        <w:rPr>
          <w:rFonts w:ascii="Arial" w:cs="Arial" w:eastAsia="Arial" w:hAnsi="Arial"/>
          <w:sz w:val="17"/>
          <w:szCs w:val="17"/>
          <w:b w:val="1"/>
          <w:bCs w:val="1"/>
          <w:color w:val="auto"/>
        </w:rPr>
      </w:pPr>
    </w:p>
    <w:p>
      <w:pPr>
        <w:ind w:right="540" w:firstLine="987"/>
        <w:spacing w:after="0" w:line="308" w:lineRule="auto"/>
        <w:tabs>
          <w:tab w:leader="none" w:pos="1391" w:val="left"/>
        </w:tabs>
        <w:numPr>
          <w:ilvl w:val="0"/>
          <w:numId w:val="89"/>
        </w:numPr>
        <w:rPr>
          <w:rFonts w:ascii="Arial" w:cs="Arial" w:eastAsia="Arial" w:hAnsi="Arial"/>
          <w:sz w:val="17"/>
          <w:szCs w:val="17"/>
          <w:b w:val="1"/>
          <w:bCs w:val="1"/>
          <w:color w:val="auto"/>
        </w:rPr>
      </w:pPr>
      <w:r>
        <w:rPr>
          <w:rFonts w:ascii="Arial" w:cs="Arial" w:eastAsia="Arial" w:hAnsi="Arial"/>
          <w:sz w:val="17"/>
          <w:szCs w:val="17"/>
          <w:color w:val="auto"/>
        </w:rPr>
        <w:t>If at any time or from time to time the holders of Class A Common Stock (or any shares of stock or other securities at the time receivable upon the exercise of the Warrants) shall have received or become entitled to receive, without payment therefor,</w:t>
      </w:r>
    </w:p>
    <w:p>
      <w:pPr>
        <w:spacing w:after="0" w:line="146" w:lineRule="exact"/>
        <w:rPr>
          <w:sz w:val="20"/>
          <w:szCs w:val="20"/>
          <w:color w:val="auto"/>
        </w:rPr>
      </w:pPr>
    </w:p>
    <w:p>
      <w:pPr>
        <w:ind w:right="60" w:firstLine="1428"/>
        <w:spacing w:after="0" w:line="263" w:lineRule="auto"/>
        <w:tabs>
          <w:tab w:leader="none" w:pos="1782"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Class A Common Stock or any shares of stock or other securities which are at any time directly or indirectly convertible into or exchangeable for Class A Common Stock, or any rights or options to subscribe for, purchase or otherwise acquire any of the foregoing by way of dividend or other distribution;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01" w:name="page102"/>
    <w:bookmarkEnd w:id="101"/>
    <w:p>
      <w:pPr>
        <w:ind w:left="1820" w:hanging="392"/>
        <w:spacing w:after="0"/>
        <w:tabs>
          <w:tab w:leader="none" w:pos="1820" w:val="left"/>
        </w:tabs>
        <w:numPr>
          <w:ilvl w:val="1"/>
          <w:numId w:val="9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cash paid or payable otherwise than as a cash dividend paid or payable out of the Company’s current or retained earnings;</w:t>
      </w:r>
    </w:p>
    <w:p>
      <w:pPr>
        <w:spacing w:after="0" w:line="248" w:lineRule="exact"/>
        <w:rPr>
          <w:rFonts w:ascii="Arial" w:cs="Arial" w:eastAsia="Arial" w:hAnsi="Arial"/>
          <w:sz w:val="16"/>
          <w:szCs w:val="16"/>
          <w:b w:val="1"/>
          <w:bCs w:val="1"/>
          <w:color w:val="auto"/>
        </w:rPr>
      </w:pPr>
    </w:p>
    <w:p>
      <w:pPr>
        <w:ind w:left="1880" w:hanging="452"/>
        <w:spacing w:after="0"/>
        <w:tabs>
          <w:tab w:leader="none" w:pos="1880" w:val="left"/>
        </w:tabs>
        <w:numPr>
          <w:ilvl w:val="1"/>
          <w:numId w:val="91"/>
        </w:numPr>
        <w:rPr>
          <w:rFonts w:ascii="Arial" w:cs="Arial" w:eastAsia="Arial" w:hAnsi="Arial"/>
          <w:sz w:val="17"/>
          <w:szCs w:val="17"/>
          <w:b w:val="1"/>
          <w:bCs w:val="1"/>
          <w:color w:val="auto"/>
        </w:rPr>
      </w:pPr>
      <w:r>
        <w:rPr>
          <w:rFonts w:ascii="Arial" w:cs="Arial" w:eastAsia="Arial" w:hAnsi="Arial"/>
          <w:sz w:val="17"/>
          <w:szCs w:val="17"/>
          <w:color w:val="auto"/>
        </w:rPr>
        <w:t>any evidence of the Company’s indebtedness or rights to subscribe for or purchase the Company’s indebtedness; or</w:t>
      </w:r>
    </w:p>
    <w:p>
      <w:pPr>
        <w:spacing w:after="0" w:line="236" w:lineRule="exact"/>
        <w:rPr>
          <w:rFonts w:ascii="Arial" w:cs="Arial" w:eastAsia="Arial" w:hAnsi="Arial"/>
          <w:sz w:val="17"/>
          <w:szCs w:val="17"/>
          <w:b w:val="1"/>
          <w:bCs w:val="1"/>
          <w:color w:val="auto"/>
        </w:rPr>
      </w:pPr>
    </w:p>
    <w:p>
      <w:pPr>
        <w:ind w:right="80" w:firstLine="1428"/>
        <w:spacing w:after="0" w:line="254" w:lineRule="auto"/>
        <w:tabs>
          <w:tab w:leader="none" w:pos="1872"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Class A Common Stock or additional stock or other securities or property (including cash) by way of spinoff, split-up, reclassification, combination of shares or similar corporate rearrangement (other than shares of Class A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Class A Common Stock received or became entitled to receive such shares or all other additional stock and other securities and property.</w:t>
      </w:r>
    </w:p>
    <w:p>
      <w:pPr>
        <w:spacing w:after="0" w:line="191" w:lineRule="exact"/>
        <w:rPr>
          <w:rFonts w:ascii="Arial" w:cs="Arial" w:eastAsia="Arial" w:hAnsi="Arial"/>
          <w:sz w:val="18"/>
          <w:szCs w:val="18"/>
          <w:b w:val="1"/>
          <w:bCs w:val="1"/>
          <w:color w:val="auto"/>
        </w:rPr>
      </w:pPr>
    </w:p>
    <w:p>
      <w:pPr>
        <w:ind w:firstLine="987"/>
        <w:spacing w:after="0" w:line="267" w:lineRule="auto"/>
        <w:tabs>
          <w:tab w:leader="none" w:pos="1371" w:val="left"/>
        </w:tabs>
        <w:numPr>
          <w:ilvl w:val="0"/>
          <w:numId w:val="92"/>
        </w:numPr>
        <w:rPr>
          <w:rFonts w:ascii="Arial" w:cs="Arial" w:eastAsia="Arial" w:hAnsi="Arial"/>
          <w:sz w:val="17"/>
          <w:szCs w:val="17"/>
          <w:b w:val="1"/>
          <w:bCs w:val="1"/>
          <w:color w:val="auto"/>
        </w:rPr>
      </w:pPr>
      <w:r>
        <w:rPr>
          <w:rFonts w:ascii="Arial" w:cs="Arial" w:eastAsia="Arial" w:hAnsi="Arial"/>
          <w:sz w:val="17"/>
          <w:szCs w:val="17"/>
          <w:color w:val="auto"/>
        </w:rPr>
        <w:t>In case of (i) any reclassification, capital reorganization, or change in the Class A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Class A Common Stock other than the issuance of additional shares of Class A Common Stock) or (iii) the sale, exchange, lease, transfer or other disposition of all or substantially all of the properties and assets of the Company as an entirety (in any such case, a “</w:t>
      </w:r>
      <w:r>
        <w:rPr>
          <w:rFonts w:ascii="Arial" w:cs="Arial" w:eastAsia="Arial" w:hAnsi="Arial"/>
          <w:sz w:val="17"/>
          <w:szCs w:val="17"/>
          <w:b w:val="1"/>
          <w:bCs w:val="1"/>
          <w:i w:val="1"/>
          <w:iCs w:val="1"/>
          <w:color w:val="auto"/>
        </w:rPr>
        <w:t>Reorganization Event</w:t>
      </w:r>
      <w:r>
        <w:rPr>
          <w:rFonts w:ascii="Arial" w:cs="Arial" w:eastAsia="Arial" w:hAnsi="Arial"/>
          <w:sz w:val="17"/>
          <w:szCs w:val="17"/>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2" w:name="page103"/>
    <w:bookmarkEnd w:id="102"/>
    <w:p>
      <w:pPr>
        <w:ind w:right="120" w:firstLine="987"/>
        <w:spacing w:after="0" w:line="311" w:lineRule="auto"/>
        <w:tabs>
          <w:tab w:leader="none" w:pos="1388"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48" w:lineRule="exact"/>
        <w:rPr>
          <w:rFonts w:ascii="Arial" w:cs="Arial" w:eastAsia="Arial" w:hAnsi="Arial"/>
          <w:sz w:val="16"/>
          <w:szCs w:val="16"/>
          <w:b w:val="1"/>
          <w:bCs w:val="1"/>
          <w:color w:val="auto"/>
        </w:rPr>
      </w:pPr>
    </w:p>
    <w:p>
      <w:pPr>
        <w:ind w:right="100" w:firstLine="987"/>
        <w:spacing w:after="0" w:line="263" w:lineRule="auto"/>
        <w:tabs>
          <w:tab w:leader="none" w:pos="1371"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Except as herein otherwise expressly provided, no adjustment in the Warrant Price shall be made by reason of the issuance of shares of Class A Common Stock, or securities convertible into or exchangeable for shares of Class A Common Stock, or securities carrying the right to purchase any of the foregoing or for any other reason whatsoever.</w:t>
      </w:r>
    </w:p>
    <w:p>
      <w:pPr>
        <w:spacing w:after="0" w:line="183" w:lineRule="exact"/>
        <w:rPr>
          <w:rFonts w:ascii="Arial" w:cs="Arial" w:eastAsia="Arial" w:hAnsi="Arial"/>
          <w:sz w:val="18"/>
          <w:szCs w:val="18"/>
          <w:b w:val="1"/>
          <w:bCs w:val="1"/>
          <w:color w:val="auto"/>
        </w:rPr>
      </w:pPr>
    </w:p>
    <w:p>
      <w:pPr>
        <w:ind w:firstLine="987"/>
        <w:spacing w:after="0" w:line="268" w:lineRule="auto"/>
        <w:tabs>
          <w:tab w:leader="none" w:pos="1351"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7"/>
          <w:szCs w:val="17"/>
          <w:b w:val="1"/>
          <w:bCs w:val="1"/>
          <w:i w:val="1"/>
          <w:iCs w:val="1"/>
          <w:color w:val="auto"/>
        </w:rPr>
        <w:t>OTC Bulletin Board</w:t>
      </w:r>
      <w:r>
        <w:rPr>
          <w:rFonts w:ascii="Arial" w:cs="Arial" w:eastAsia="Arial" w:hAnsi="Arial"/>
          <w:sz w:val="17"/>
          <w:szCs w:val="17"/>
          <w:color w:val="auto"/>
        </w:rPr>
        <w:t>”) operated by the Financial Industry Regulatory Authority, Inc.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84" w:lineRule="exact"/>
        <w:rPr>
          <w:rFonts w:ascii="Arial" w:cs="Arial" w:eastAsia="Arial" w:hAnsi="Arial"/>
          <w:sz w:val="17"/>
          <w:szCs w:val="17"/>
          <w:b w:val="1"/>
          <w:bCs w:val="1"/>
          <w:color w:val="auto"/>
        </w:rPr>
      </w:pPr>
    </w:p>
    <w:p>
      <w:pPr>
        <w:jc w:val="both"/>
        <w:ind w:right="200" w:firstLine="987"/>
        <w:spacing w:after="0" w:line="286" w:lineRule="auto"/>
        <w:tabs>
          <w:tab w:leader="none" w:pos="1378"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65" w:lineRule="exact"/>
        <w:rPr>
          <w:rFonts w:ascii="Arial" w:cs="Arial" w:eastAsia="Arial" w:hAnsi="Arial"/>
          <w:sz w:val="17"/>
          <w:szCs w:val="17"/>
          <w:b w:val="1"/>
          <w:bCs w:val="1"/>
          <w:color w:val="auto"/>
        </w:rPr>
      </w:pPr>
    </w:p>
    <w:p>
      <w:pPr>
        <w:ind w:firstLine="987"/>
        <w:spacing w:after="0" w:line="277" w:lineRule="auto"/>
        <w:tabs>
          <w:tab w:leader="none" w:pos="1391"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in no event shall the Warrant Price, as adjusted in accordance with the terms hereof, be less than the par value per share of Class A Common Stock.</w:t>
      </w:r>
    </w:p>
    <w:p>
      <w:pPr>
        <w:spacing w:after="0" w:line="166"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 xml:space="preserve">3.5 Notice to Warrantholders. </w:t>
      </w:r>
      <w:r>
        <w:rPr>
          <w:rFonts w:ascii="Arial" w:cs="Arial" w:eastAsia="Arial" w:hAnsi="Arial"/>
          <w:sz w:val="16"/>
          <w:szCs w:val="16"/>
          <w:color w:val="auto"/>
        </w:rPr>
        <w:t>In case the Company shall (a) effect any dividend or distribution described in Section 3.4(b), (b) effect any</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Event, (c) make any distribution on or in respect of the Class A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Class A Common Stock that will be entitled to such dividend or distribution are to be determined, (y) the date on which such Reorganization Event, dissolution, liquidation or winding up is expected to become effective, and the date as of which it is expected that holders of Class A Common Stock of record shall be entitled to exchange their shares of Class A Common Stock for securities or other property deliverable upon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103" w:name="page104"/>
    <w:bookmarkEnd w:id="103"/>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8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color w:val="auto"/>
        </w:rPr>
        <w:t>[If the Warrants are Subject to Acceleration by the Company, Insert—Acceleration of Warrants by the Company.</w:t>
      </w:r>
    </w:p>
    <w:p>
      <w:pPr>
        <w:spacing w:after="0" w:line="229" w:lineRule="exact"/>
        <w:rPr>
          <w:sz w:val="20"/>
          <w:szCs w:val="20"/>
          <w:color w:val="auto"/>
        </w:rPr>
      </w:pPr>
    </w:p>
    <w:p>
      <w:pPr>
        <w:jc w:val="both"/>
        <w:ind w:right="120" w:firstLine="987"/>
        <w:spacing w:after="0" w:line="257" w:lineRule="auto"/>
        <w:tabs>
          <w:tab w:leader="none" w:pos="1371"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8"/>
          <w:szCs w:val="18"/>
          <w:b w:val="1"/>
          <w:bCs w:val="1"/>
          <w:i w:val="1"/>
          <w:iCs w:val="1"/>
          <w:color w:val="auto"/>
        </w:rPr>
        <w:t>Acceleration Date</w:t>
      </w:r>
      <w:r>
        <w:rPr>
          <w:rFonts w:ascii="Arial" w:cs="Arial" w:eastAsia="Arial" w:hAnsi="Arial"/>
          <w:sz w:val="18"/>
          <w:szCs w:val="18"/>
          <w:color w:val="auto"/>
        </w:rPr>
        <w:t>”), if the Market Price (as hereinafter defined) of the Class A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83" w:lineRule="exact"/>
        <w:rPr>
          <w:rFonts w:ascii="Arial" w:cs="Arial" w:eastAsia="Arial" w:hAnsi="Arial"/>
          <w:sz w:val="18"/>
          <w:szCs w:val="18"/>
          <w:b w:val="1"/>
          <w:bCs w:val="1"/>
          <w:color w:val="auto"/>
        </w:rPr>
      </w:pPr>
    </w:p>
    <w:p>
      <w:pPr>
        <w:ind w:right="140" w:firstLine="987"/>
        <w:spacing w:after="0" w:line="287" w:lineRule="auto"/>
        <w:tabs>
          <w:tab w:leader="none" w:pos="1391"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w:t>
      </w:r>
      <w:r>
        <w:rPr>
          <w:rFonts w:ascii="Arial" w:cs="Arial" w:eastAsia="Arial" w:hAnsi="Arial"/>
          <w:sz w:val="16"/>
          <w:szCs w:val="16"/>
          <w:b w:val="1"/>
          <w:bCs w:val="1"/>
          <w:i w:val="1"/>
          <w:iCs w:val="1"/>
          <w:color w:val="auto"/>
        </w:rPr>
        <w:t>Market Price</w:t>
      </w:r>
      <w:r>
        <w:rPr>
          <w:rFonts w:ascii="Arial" w:cs="Arial" w:eastAsia="Arial" w:hAnsi="Arial"/>
          <w:sz w:val="16"/>
          <w:szCs w:val="16"/>
          <w:color w:val="auto"/>
        </w:rPr>
        <w:t>” for each Trading Day shall be, if the Class A Common Stock is listed or admitted to trading on any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national securities exchange, the last reported sale price, regular way (or, if no such price is reported, the average of the reported closing bid and asked prices, regular way) of Class A Common Stock, in either case as reported on the principal registered national securities exchange on which the Class A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Class A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Class A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71" w:lineRule="exact"/>
        <w:rPr>
          <w:rFonts w:ascii="Arial" w:cs="Arial" w:eastAsia="Arial" w:hAnsi="Arial"/>
          <w:sz w:val="16"/>
          <w:szCs w:val="16"/>
          <w:b w:val="1"/>
          <w:bCs w:val="1"/>
          <w:color w:val="auto"/>
        </w:rPr>
      </w:pPr>
    </w:p>
    <w:p>
      <w:pPr>
        <w:ind w:firstLine="987"/>
        <w:spacing w:after="0" w:line="257" w:lineRule="auto"/>
        <w:tabs>
          <w:tab w:leader="none" w:pos="1371"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87" w:lineRule="exact"/>
        <w:rPr>
          <w:rFonts w:ascii="Arial" w:cs="Arial" w:eastAsia="Arial" w:hAnsi="Arial"/>
          <w:sz w:val="18"/>
          <w:szCs w:val="18"/>
          <w:b w:val="1"/>
          <w:bCs w:val="1"/>
          <w:color w:val="auto"/>
        </w:rPr>
      </w:pPr>
    </w:p>
    <w:p>
      <w:pPr>
        <w:ind w:right="60" w:firstLine="987"/>
        <w:spacing w:after="0" w:line="277" w:lineRule="auto"/>
        <w:tabs>
          <w:tab w:leader="none" w:pos="1381"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Any Warrant accelerated may be exercised until [●] p.m., [City] time, on the business day next preceding the Acceleration Date. The Warrant Price shall be payable as provided in Section 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color w:val="auto"/>
        </w:rPr>
        <w:t>Exchange and Transfer of Warrant Certificates. 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383"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 a</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WARRANT AGENT</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7"/>
          <w:szCs w:val="17"/>
          <w:b w:val="1"/>
          <w:bCs w:val="1"/>
          <w:color w:val="auto"/>
        </w:rPr>
        <w:t xml:space="preserve">5.1 Warrant Agent. </w:t>
      </w:r>
      <w:r>
        <w:rPr>
          <w:rFonts w:ascii="Arial" w:cs="Arial" w:eastAsia="Arial" w:hAnsi="Arial"/>
          <w:sz w:val="17"/>
          <w:szCs w:val="17"/>
          <w:color w:val="auto"/>
        </w:rPr>
        <w:t>The Company hereby appoints [●] as Warrant Agent of the Company in respect of the Warrants and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05" w:name="page106"/>
    <w:bookmarkEnd w:id="105"/>
    <w:p>
      <w:pPr>
        <w:jc w:val="both"/>
        <w:ind w:right="38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 Conditions of Warrant Agent’s Obligations. </w:t>
      </w:r>
      <w:r>
        <w:rPr>
          <w:rFonts w:ascii="Arial" w:cs="Arial" w:eastAsia="Arial" w:hAnsi="Arial"/>
          <w:sz w:val="18"/>
          <w:szCs w:val="18"/>
          <w:color w:val="auto"/>
        </w:rPr>
        <w:t>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68" w:lineRule="exact"/>
        <w:rPr>
          <w:sz w:val="20"/>
          <w:szCs w:val="20"/>
          <w:color w:val="auto"/>
        </w:rPr>
      </w:pPr>
    </w:p>
    <w:p>
      <w:pPr>
        <w:ind w:right="60" w:firstLine="987"/>
        <w:spacing w:after="0" w:line="294" w:lineRule="auto"/>
        <w:tabs>
          <w:tab w:leader="none" w:pos="1381"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right="200" w:firstLine="987"/>
        <w:spacing w:after="0" w:line="266" w:lineRule="auto"/>
        <w:tabs>
          <w:tab w:leader="none" w:pos="139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75" w:lineRule="exact"/>
        <w:rPr>
          <w:rFonts w:ascii="Arial" w:cs="Arial" w:eastAsia="Arial" w:hAnsi="Arial"/>
          <w:sz w:val="18"/>
          <w:szCs w:val="18"/>
          <w:b w:val="1"/>
          <w:bCs w:val="1"/>
          <w:color w:val="auto"/>
        </w:rPr>
      </w:pPr>
    </w:p>
    <w:p>
      <w:pPr>
        <w:ind w:right="60" w:firstLine="987"/>
        <w:spacing w:after="0" w:line="266" w:lineRule="auto"/>
        <w:tabs>
          <w:tab w:leader="none" w:pos="137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jc w:val="both"/>
        <w:ind w:right="60" w:firstLine="987"/>
        <w:spacing w:after="0" w:line="266" w:lineRule="auto"/>
        <w:tabs>
          <w:tab w:leader="none" w:pos="139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firstLine="987"/>
        <w:spacing w:after="0" w:line="256" w:lineRule="auto"/>
        <w:tabs>
          <w:tab w:leader="none" w:pos="137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Transactions. </w:t>
      </w:r>
      <w:r>
        <w:rPr>
          <w:rFonts w:ascii="Arial" w:cs="Arial" w:eastAsia="Arial" w:hAnsi="Arial"/>
          <w:sz w:val="18"/>
          <w:szCs w:val="18"/>
          <w:color w:val="auto"/>
        </w:rPr>
        <w:t>The Warrant Agent, and its officers, directors and employees, may become the owner of, or acquire any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87" w:lineRule="exact"/>
        <w:rPr>
          <w:rFonts w:ascii="Arial" w:cs="Arial" w:eastAsia="Arial" w:hAnsi="Arial"/>
          <w:sz w:val="18"/>
          <w:szCs w:val="18"/>
          <w:b w:val="1"/>
          <w:bCs w:val="1"/>
          <w:color w:val="auto"/>
        </w:rPr>
      </w:pPr>
    </w:p>
    <w:p>
      <w:pPr>
        <w:ind w:right="200" w:firstLine="987"/>
        <w:spacing w:after="0" w:line="282" w:lineRule="auto"/>
        <w:tabs>
          <w:tab w:leader="none" w:pos="135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right="100" w:firstLine="987"/>
        <w:spacing w:after="0" w:line="282" w:lineRule="auto"/>
        <w:tabs>
          <w:tab w:leader="none" w:pos="1381"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right="60" w:firstLine="987"/>
        <w:spacing w:after="0" w:line="312" w:lineRule="auto"/>
        <w:tabs>
          <w:tab w:leader="none" w:pos="1391"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Representations. </w:t>
      </w:r>
      <w:r>
        <w:rPr>
          <w:rFonts w:ascii="Arial" w:cs="Arial" w:eastAsia="Arial" w:hAnsi="Arial"/>
          <w:sz w:val="17"/>
          <w:szCs w:val="17"/>
          <w:color w:val="auto"/>
        </w:rPr>
        <w:t>The Warrant Agent shall not be responsible for any of the recitals or representations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Warrant Certificates (except as to the Warrant Agent’s countersignature thereon), all of which are made solely by the Company.</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06" w:name="page107"/>
    <w:bookmarkEnd w:id="106"/>
    <w:p>
      <w:pPr>
        <w:ind w:firstLine="987"/>
        <w:spacing w:after="0" w:line="270" w:lineRule="auto"/>
        <w:tabs>
          <w:tab w:leader="none" w:pos="1341"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Implied Obligations. </w:t>
      </w:r>
      <w:r>
        <w:rPr>
          <w:rFonts w:ascii="Arial" w:cs="Arial" w:eastAsia="Arial" w:hAnsi="Arial"/>
          <w:sz w:val="17"/>
          <w:szCs w:val="17"/>
          <w:color w:val="auto"/>
        </w:rPr>
        <w:t>The Warrant Agent shall be obligated to perform only such duties as are herein and in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7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p>
    <w:p>
      <w:pPr>
        <w:spacing w:after="0" w:line="229" w:lineRule="exact"/>
        <w:rPr>
          <w:sz w:val="20"/>
          <w:szCs w:val="20"/>
          <w:color w:val="auto"/>
        </w:rPr>
      </w:pPr>
    </w:p>
    <w:p>
      <w:pPr>
        <w:ind w:right="360" w:firstLine="987"/>
        <w:spacing w:after="0" w:line="277" w:lineRule="auto"/>
        <w:tabs>
          <w:tab w:leader="none" w:pos="1378"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ind w:right="40" w:firstLine="987"/>
        <w:spacing w:after="0" w:line="271" w:lineRule="auto"/>
        <w:tabs>
          <w:tab w:leader="none" w:pos="1388"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right="140" w:firstLine="987"/>
        <w:spacing w:after="0" w:line="268" w:lineRule="auto"/>
        <w:tabs>
          <w:tab w:leader="none" w:pos="1371"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07" w:name="page108"/>
    <w:bookmarkEnd w:id="107"/>
    <w:p>
      <w:pPr>
        <w:ind w:firstLine="987"/>
        <w:spacing w:after="0" w:line="255" w:lineRule="auto"/>
        <w:tabs>
          <w:tab w:leader="none" w:pos="1381"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92" w:lineRule="exact"/>
        <w:rPr>
          <w:rFonts w:ascii="Arial" w:cs="Arial" w:eastAsia="Arial" w:hAnsi="Arial"/>
          <w:sz w:val="18"/>
          <w:szCs w:val="18"/>
          <w:b w:val="1"/>
          <w:bCs w:val="1"/>
          <w:color w:val="auto"/>
        </w:rPr>
      </w:pPr>
    </w:p>
    <w:p>
      <w:pPr>
        <w:ind w:firstLine="987"/>
        <w:spacing w:after="0" w:line="257" w:lineRule="auto"/>
        <w:tabs>
          <w:tab w:leader="none" w:pos="1361" w:val="left"/>
        </w:tabs>
        <w:numPr>
          <w:ilvl w:val="0"/>
          <w:numId w:val="98"/>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right="200" w:firstLine="440"/>
        <w:spacing w:after="0" w:line="281"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ind w:right="440" w:firstLine="440"/>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 and any communication from the Warrant Agent to the Company with respect to this Agreement shall be addressed to Zoom Video Communications, Inc., 55 Almaden Boulevard, 6th Floor, San Jose, California 95113, Attention: [●] (or such other address as shall be specified in writing by the Warrant Agent or by the Company).</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6.6 Obtaining of Governmental Approvals. </w:t>
      </w:r>
      <w:r>
        <w:rPr>
          <w:rFonts w:ascii="Arial" w:cs="Arial" w:eastAsia="Arial" w:hAnsi="Arial"/>
          <w:sz w:val="18"/>
          <w:szCs w:val="18"/>
          <w:color w:val="auto"/>
        </w:rPr>
        <w:t>The Company will from time to time take all action which may be necessary to obtain and keep</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any and all permits, consents and approvals of</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08" w:name="page109"/>
    <w:bookmarkEnd w:id="10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6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6.9 Counterparts. </w:t>
      </w:r>
      <w:r>
        <w:rPr>
          <w:rFonts w:ascii="Arial" w:cs="Arial" w:eastAsia="Arial" w:hAnsi="Arial"/>
          <w:sz w:val="18"/>
          <w:szCs w:val="18"/>
          <w:color w:val="auto"/>
        </w:rPr>
        <w:t>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440" w:top="274" w:right="599" w:bottom="1440" w:gutter="0" w:footer="0" w:header="0"/>
        </w:sectPr>
      </w:pPr>
    </w:p>
    <w:bookmarkStart w:id="109" w:name="page110"/>
    <w:bookmarkEnd w:id="109"/>
    <w:p>
      <w:pPr>
        <w:jc w:val="right"/>
        <w:ind w:righ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Agreement to be duly executed as of the day and year first above written.</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Zoom Video Communications, Inc., as Company</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-1905</wp:posOffset>
            </wp:positionV>
            <wp:extent cx="22288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-1905</wp:posOffset>
            </wp:positionV>
            <wp:extent cx="22288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-1905</wp:posOffset>
            </wp:positionV>
            <wp:extent cx="22288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0</wp:posOffset>
            </wp:positionV>
            <wp:extent cx="22288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154305</wp:posOffset>
            </wp:positionV>
            <wp:extent cx="22288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OUNTERSIGNED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5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-1905</wp:posOffset>
            </wp:positionV>
            <wp:extent cx="22288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-1905</wp:posOffset>
            </wp:positionV>
            <wp:extent cx="22288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-1905</wp:posOffset>
            </wp:positionV>
            <wp:extent cx="22288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0</wp:posOffset>
            </wp:positionV>
            <wp:extent cx="22288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2228850" cy="825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154305</wp:posOffset>
            </wp:positionV>
            <wp:extent cx="22288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Z</w:t>
      </w:r>
      <w:r>
        <w:rPr>
          <w:rFonts w:ascii="Arial" w:cs="Arial" w:eastAsia="Arial" w:hAnsi="Arial"/>
          <w:sz w:val="14"/>
          <w:szCs w:val="14"/>
          <w:color w:val="auto"/>
        </w:rPr>
        <w:t>OOM</w:t>
      </w:r>
      <w:r>
        <w:rPr>
          <w:rFonts w:ascii="Arial" w:cs="Arial" w:eastAsia="Arial" w:hAnsi="Arial"/>
          <w:sz w:val="18"/>
          <w:szCs w:val="18"/>
          <w:color w:val="auto"/>
        </w:rPr>
        <w:t xml:space="preserve"> V</w:t>
      </w:r>
      <w:r>
        <w:rPr>
          <w:rFonts w:ascii="Arial" w:cs="Arial" w:eastAsia="Arial" w:hAnsi="Arial"/>
          <w:sz w:val="14"/>
          <w:szCs w:val="14"/>
          <w:color w:val="auto"/>
        </w:rPr>
        <w:t>IDEO</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C</w:t>
      </w:r>
      <w:r>
        <w:rPr>
          <w:rFonts w:ascii="Arial" w:cs="Arial" w:eastAsia="Arial" w:hAnsi="Arial"/>
          <w:sz w:val="14"/>
          <w:szCs w:val="14"/>
          <w:color w:val="auto"/>
        </w:rPr>
        <w:t>LASS</w:t>
      </w:r>
      <w:r>
        <w:rPr>
          <w:rFonts w:ascii="Arial" w:cs="Arial" w:eastAsia="Arial" w:hAnsi="Arial"/>
          <w:sz w:val="18"/>
          <w:szCs w:val="18"/>
          <w:color w:val="auto"/>
        </w:rPr>
        <w:t xml:space="preserve"> A C</w:t>
      </w:r>
      <w:r>
        <w:rPr>
          <w:rFonts w:ascii="Arial" w:cs="Arial" w:eastAsia="Arial" w:hAnsi="Arial"/>
          <w:sz w:val="14"/>
          <w:szCs w:val="14"/>
          <w:color w:val="auto"/>
        </w:rPr>
        <w:t>OMMON</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700"/>
          </w:cols>
          <w:pgMar w:left="880" w:top="270" w:right="1319" w:bottom="1440" w:gutter="0" w:footer="0" w:header="0"/>
        </w:sectPr>
      </w:pPr>
    </w:p>
    <w:bookmarkStart w:id="110" w:name="page111"/>
    <w:bookmarkEnd w:id="11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820"/>
          </w:cols>
          <w:pgMar w:left="440" w:top="270" w:right="6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20" w:space="720"/>
            <w:col w:w="5080"/>
          </w:cols>
          <w:pgMar w:left="440" w:top="270" w:right="639"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VOID AFTER [●] P.M., [City] time, ON [●].</w:t>
      </w:r>
    </w:p>
    <w:p>
      <w:pPr>
        <w:sectPr>
          <w:pgSz w:w="11900" w:h="16838" w:orient="portrait"/>
          <w:cols w:equalWidth="0" w:num="1">
            <w:col w:w="10820"/>
          </w:cols>
          <w:pgMar w:left="440" w:top="270" w:right="6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3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Class A Common Stock,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of Zoom Video Communications,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4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2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ectPr>
          <w:pgSz w:w="11900" w:h="16838" w:orient="portrait"/>
          <w:cols w:equalWidth="0" w:num="1">
            <w:col w:w="11020"/>
          </w:cols>
          <w:pgMar w:left="440" w:top="270" w:right="439" w:bottom="1440" w:gutter="0" w:footer="0" w:header="0"/>
        </w:sectPr>
      </w:pPr>
    </w:p>
    <w:bookmarkStart w:id="112" w:name="page113"/>
    <w:bookmarkEnd w:id="11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 as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4551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45516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45516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163195</wp:posOffset>
            </wp:positionV>
            <wp:extent cx="45516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17145</wp:posOffset>
            </wp:positionV>
            <wp:extent cx="45516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45516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45516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14605</wp:posOffset>
            </wp:positionV>
            <wp:extent cx="45516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163195</wp:posOffset>
            </wp:positionV>
            <wp:extent cx="45516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17145</wp:posOffset>
            </wp:positionV>
            <wp:extent cx="45516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ectPr>
          <w:pgSz w:w="11900" w:h="16838" w:orient="portrait"/>
          <w:cols w:equalWidth="0" w:num="1">
            <w:col w:w="10500"/>
          </w:cols>
          <w:pgMar w:left="440" w:top="274" w:right="95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left="440"/>
        <w:spacing w:after="0"/>
        <w:tabs>
          <w:tab w:leader="none" w:pos="5100" w:val="left"/>
          <w:tab w:leader="none" w:pos="1024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8"/>
          <w:szCs w:val="18"/>
          <w:color w:val="auto"/>
        </w:rPr>
        <w:t>Warrants, evidenced by this Warrant Certificate, to purchase</w:t>
      </w:r>
      <w:r>
        <w:rPr>
          <w:sz w:val="20"/>
          <w:szCs w:val="20"/>
          <w:color w:val="auto"/>
        </w:rPr>
        <w:tab/>
      </w:r>
      <w:r>
        <w:rPr>
          <w:rFonts w:ascii="Arial" w:cs="Arial" w:eastAsia="Arial" w:hAnsi="Arial"/>
          <w:sz w:val="15"/>
          <w:szCs w:val="15"/>
          <w:color w:val="auto"/>
        </w:rPr>
        <w:t>shares of</w:t>
      </w:r>
    </w:p>
    <w:p>
      <w:pPr>
        <w:spacing w:after="0" w:line="23" w:lineRule="exact"/>
        <w:rPr>
          <w:sz w:val="20"/>
          <w:szCs w:val="20"/>
          <w:color w:val="auto"/>
        </w:rPr>
      </w:pPr>
    </w:p>
    <w:p>
      <w:pPr>
        <w:jc w:val="both"/>
        <w:ind w:right="480"/>
        <w:spacing w:after="0" w:line="281" w:lineRule="auto"/>
        <w:rPr>
          <w:sz w:val="20"/>
          <w:szCs w:val="20"/>
          <w:color w:val="auto"/>
        </w:rPr>
      </w:pPr>
      <w:r>
        <w:rPr>
          <w:rFonts w:ascii="Arial" w:cs="Arial" w:eastAsia="Arial" w:hAnsi="Arial"/>
          <w:sz w:val="16"/>
          <w:szCs w:val="16"/>
          <w:color w:val="auto"/>
        </w:rPr>
        <w:t>the Class A Common Stock,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Zoom Video Communications,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Zoom Video</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Communications,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90"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11"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14605</wp:posOffset>
            </wp:positionV>
            <wp:extent cx="64204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3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Please Print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23056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Holder)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15684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 By hand 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mail at: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0480"/>
          </w:cols>
          <w:pgMar w:left="440" w:top="274" w:right="97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740" w:type="dxa"/>
            <w:vAlign w:val="bottom"/>
            <w:gridSpan w:val="3"/>
          </w:tcPr>
          <w:p>
            <w:pPr>
              <w:jc w:val="center"/>
              <w:ind w:right="4300"/>
              <w:spacing w:after="0"/>
              <w:rPr>
                <w:sz w:val="20"/>
                <w:szCs w:val="20"/>
                <w:color w:val="auto"/>
              </w:rPr>
            </w:pPr>
            <w:r>
              <w:rPr>
                <w:rFonts w:ascii="Arial" w:cs="Arial" w:eastAsia="Arial" w:hAnsi="Arial"/>
                <w:sz w:val="18"/>
                <w:szCs w:val="18"/>
                <w:b w:val="1"/>
                <w:bCs w:val="1"/>
                <w:color w:val="auto"/>
                <w:w w:val="99"/>
              </w:rPr>
              <w:t>ASSIGNMENT</w:t>
            </w:r>
          </w:p>
        </w:tc>
      </w:tr>
      <w:tr>
        <w:trPr>
          <w:trHeight w:val="432"/>
        </w:trPr>
        <w:tc>
          <w:tcPr>
            <w:tcW w:w="2400" w:type="dxa"/>
            <w:vAlign w:val="bottom"/>
          </w:tcPr>
          <w:p>
            <w:pPr>
              <w:spacing w:after="0"/>
              <w:rPr>
                <w:sz w:val="24"/>
                <w:szCs w:val="24"/>
                <w:color w:val="auto"/>
              </w:rPr>
            </w:pPr>
          </w:p>
        </w:tc>
        <w:tc>
          <w:tcPr>
            <w:tcW w:w="8620" w:type="dxa"/>
            <w:vAlign w:val="bottom"/>
            <w:gridSpan w:val="4"/>
          </w:tcPr>
          <w:p>
            <w:pPr>
              <w:jc w:val="center"/>
              <w:ind w:right="2400"/>
              <w:spacing w:after="0"/>
              <w:rPr>
                <w:sz w:val="20"/>
                <w:szCs w:val="20"/>
                <w:color w:val="auto"/>
              </w:rPr>
            </w:pPr>
            <w:r>
              <w:rPr>
                <w:rFonts w:ascii="Arial" w:cs="Arial" w:eastAsia="Arial" w:hAnsi="Arial"/>
                <w:sz w:val="18"/>
                <w:szCs w:val="18"/>
                <w:color w:val="auto"/>
                <w:w w:val="90"/>
              </w:rPr>
              <w:t>[Form of assignment to be executed if Warrant Holder desires to transfer Warrant]</w:t>
            </w:r>
          </w:p>
        </w:tc>
      </w:tr>
      <w:tr>
        <w:trPr>
          <w:trHeight w:val="432"/>
        </w:trPr>
        <w:tc>
          <w:tcPr>
            <w:tcW w:w="2400" w:type="dxa"/>
            <w:vAlign w:val="bottom"/>
          </w:tcPr>
          <w:p>
            <w:pPr>
              <w:ind w:left="4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ECEIVED</w:t>
            </w:r>
            <w:r>
              <w:rPr>
                <w:rFonts w:ascii="Arial" w:cs="Arial" w:eastAsia="Arial" w:hAnsi="Arial"/>
                <w:sz w:val="18"/>
                <w:szCs w:val="18"/>
                <w:b w:val="1"/>
                <w:bCs w:val="1"/>
                <w:color w:val="auto"/>
              </w:rPr>
              <w:t>,</w:t>
            </w:r>
          </w:p>
        </w:tc>
        <w:tc>
          <w:tcPr>
            <w:tcW w:w="8620" w:type="dxa"/>
            <w:vAlign w:val="bottom"/>
            <w:gridSpan w:val="4"/>
          </w:tcPr>
          <w:p>
            <w:pPr>
              <w:ind w:left="1180"/>
              <w:spacing w:after="0"/>
              <w:rPr>
                <w:sz w:val="20"/>
                <w:szCs w:val="20"/>
                <w:color w:val="auto"/>
              </w:rPr>
            </w:pPr>
            <w:r>
              <w:rPr>
                <w:rFonts w:ascii="Arial" w:cs="Arial" w:eastAsia="Arial" w:hAnsi="Arial"/>
                <w:sz w:val="18"/>
                <w:szCs w:val="18"/>
                <w:color w:val="auto"/>
              </w:rPr>
              <w:t>hereby sells, assigns and transfers unto:</w:t>
            </w:r>
          </w:p>
        </w:tc>
      </w:tr>
      <w:tr>
        <w:trPr>
          <w:trHeight w:val="297"/>
        </w:trPr>
        <w:tc>
          <w:tcPr>
            <w:tcW w:w="428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50"/>
        </w:trPr>
        <w:tc>
          <w:tcPr>
            <w:tcW w:w="4280" w:type="dxa"/>
            <w:vAlign w:val="bottom"/>
            <w:gridSpan w:val="2"/>
          </w:tcPr>
          <w:p>
            <w:pPr>
              <w:spacing w:after="0"/>
              <w:rPr>
                <w:sz w:val="20"/>
                <w:szCs w:val="20"/>
                <w:color w:val="auto"/>
              </w:rPr>
            </w:pPr>
            <w:r>
              <w:rPr>
                <w:rFonts w:ascii="Arial" w:cs="Arial" w:eastAsia="Arial" w:hAnsi="Arial"/>
                <w:sz w:val="18"/>
                <w:szCs w:val="18"/>
                <w:color w:val="auto"/>
              </w:rPr>
              <w:t>(Please print name and address including zip code)</w:t>
            </w:r>
          </w:p>
        </w:tc>
        <w:tc>
          <w:tcPr>
            <w:tcW w:w="1340" w:type="dxa"/>
            <w:vAlign w:val="bottom"/>
          </w:tcPr>
          <w:p>
            <w:pPr>
              <w:spacing w:after="0"/>
              <w:rPr>
                <w:sz w:val="21"/>
                <w:szCs w:val="21"/>
                <w:color w:val="auto"/>
              </w:rPr>
            </w:pPr>
          </w:p>
        </w:tc>
        <w:tc>
          <w:tcPr>
            <w:tcW w:w="5400" w:type="dxa"/>
            <w:vAlign w:val="bottom"/>
            <w:gridSpan w:val="2"/>
          </w:tcPr>
          <w:p>
            <w:pPr>
              <w:ind w:left="320"/>
              <w:spacing w:after="0"/>
              <w:rPr>
                <w:sz w:val="20"/>
                <w:szCs w:val="20"/>
                <w:color w:val="auto"/>
              </w:rPr>
            </w:pPr>
            <w:r>
              <w:rPr>
                <w:rFonts w:ascii="Arial" w:cs="Arial" w:eastAsia="Arial" w:hAnsi="Arial"/>
                <w:sz w:val="18"/>
                <w:szCs w:val="18"/>
                <w:color w:val="auto"/>
              </w:rPr>
              <w:t>Please print Social Security or other identifying number</w:t>
            </w:r>
          </w:p>
        </w:tc>
      </w:tr>
    </w:tbl>
    <w:p>
      <w:pPr>
        <w:ind w:left="32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1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right represented by the within Warrant to purchase which the within Warrant relates and appoints of substitution in the premises.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20" w:firstLine="120"/>
        <w:spacing w:after="0" w:line="342" w:lineRule="auto"/>
        <w:rPr>
          <w:sz w:val="20"/>
          <w:szCs w:val="20"/>
          <w:color w:val="auto"/>
        </w:rPr>
      </w:pPr>
      <w:r>
        <w:rPr>
          <w:rFonts w:ascii="Arial" w:cs="Arial" w:eastAsia="Arial" w:hAnsi="Arial"/>
          <w:sz w:val="16"/>
          <w:szCs w:val="16"/>
          <w:color w:val="auto"/>
        </w:rPr>
        <w:t>shares of [Title of Warrant Securities] of Zoom Video Communications, Inc. to attorney to transfer such right on the books of the Warrant Agent with full power</w:t>
      </w:r>
    </w:p>
    <w:p>
      <w:pPr>
        <w:spacing w:after="0" w:line="356" w:lineRule="exact"/>
        <w:rPr>
          <w:sz w:val="20"/>
          <w:szCs w:val="20"/>
          <w:color w:val="auto"/>
        </w:rPr>
      </w:pPr>
    </w:p>
    <w:p>
      <w:pPr>
        <w:sectPr>
          <w:pgSz w:w="11900" w:h="16838" w:orient="portrait"/>
          <w:cols w:equalWidth="0" w:num="2">
            <w:col w:w="4460" w:space="720"/>
            <w:col w:w="5840"/>
          </w:cols>
          <w:pgMar w:left="440" w:top="270" w:right="439" w:bottom="1440" w:gutter="0" w:footer="0" w:header="0"/>
          <w:type w:val="continuous"/>
        </w:sectPr>
      </w:pPr>
    </w:p>
    <w:p>
      <w:pPr>
        <w:spacing w:after="0" w:line="11"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14605</wp:posOffset>
            </wp:positionV>
            <wp:extent cx="64204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30"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Signature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must conform in all respects to name of holder as specified on the face of the Warrant)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29400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AND</w:t>
      </w:r>
    </w:p>
    <w:p>
      <w:pPr>
        <w:spacing w:after="0" w:line="202" w:lineRule="exact"/>
        <w:rPr>
          <w:sz w:val="20"/>
          <w:szCs w:val="20"/>
          <w:color w:val="auto"/>
        </w:rPr>
      </w:pPr>
    </w:p>
    <w:p>
      <w:pPr>
        <w:ind w:left="4160" w:hanging="86"/>
        <w:spacing w:after="0"/>
        <w:tabs>
          <w:tab w:leader="none" w:pos="41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-7620</wp:posOffset>
            </wp:positionV>
            <wp:extent cx="571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-7620</wp:posOffset>
            </wp:positionV>
            <wp:extent cx="571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ZOOM VIDEO COMMUNICATIONS, INC.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proposes to sell [</w:t>
      </w:r>
      <w:r>
        <w:rPr>
          <w:rFonts w:ascii="Arial" w:cs="Arial" w:eastAsia="Arial" w:hAnsi="Arial"/>
          <w:sz w:val="16"/>
          <w:szCs w:val="16"/>
          <w:b w:val="1"/>
          <w:bCs w:val="1"/>
          <w:i w:val="1"/>
          <w:iCs w:val="1"/>
          <w:color w:val="auto"/>
        </w:rPr>
        <w:t>If Warrants are sold with other securities —</w:t>
      </w:r>
      <w:r>
        <w:rPr>
          <w:rFonts w:ascii="Arial" w:cs="Arial" w:eastAsia="Arial" w:hAnsi="Arial"/>
          <w:sz w:val="16"/>
          <w:szCs w:val="16"/>
          <w:b w:val="1"/>
          <w:bCs w:val="1"/>
          <w:color w:val="auto"/>
        </w:rPr>
        <w:t xml:space="preserve"> </w:t>
      </w:r>
      <w:r>
        <w:rPr>
          <w:rFonts w:ascii="Arial" w:cs="Arial" w:eastAsia="Arial" w:hAnsi="Arial"/>
          <w:sz w:val="16"/>
          <w:szCs w:val="16"/>
          <w:color w:val="auto"/>
        </w:rPr>
        <w:t>[title of such other securities being offered] (the “</w:t>
      </w:r>
      <w:r>
        <w:rPr>
          <w:rFonts w:ascii="Arial" w:cs="Arial" w:eastAsia="Arial" w:hAnsi="Arial"/>
          <w:sz w:val="16"/>
          <w:szCs w:val="16"/>
          <w:b w:val="1"/>
          <w:bCs w:val="1"/>
          <w:i w:val="1"/>
          <w:iCs w:val="1"/>
          <w:color w:val="auto"/>
        </w:rPr>
        <w:t>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with] warrant certificates evidencing one or more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individually,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representing the right to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[title of Preferred Stock purchasable through exercise of Warrants] of the Company,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such warrant certificates and other warrant certificates issued pursuant to this Agreement being herein called the “</w:t>
      </w:r>
      <w:r>
        <w:rPr>
          <w:rFonts w:ascii="Arial" w:cs="Arial" w:eastAsia="Arial" w:hAnsi="Arial"/>
          <w:sz w:val="16"/>
          <w:szCs w:val="16"/>
          <w:b w:val="1"/>
          <w:bCs w:val="1"/>
          <w:i w:val="1"/>
          <w:iCs w:val="1"/>
          <w:color w:val="auto"/>
        </w:rPr>
        <w:t>Warrant Certificates</w:t>
      </w:r>
      <w:r>
        <w:rPr>
          <w:rFonts w:ascii="Arial" w:cs="Arial" w:eastAsia="Arial" w:hAnsi="Arial"/>
          <w:sz w:val="16"/>
          <w:szCs w:val="16"/>
          <w:color w:val="auto"/>
        </w:rPr>
        <w:t>”; and</w:t>
      </w:r>
    </w:p>
    <w:p>
      <w:pPr>
        <w:spacing w:after="0" w:line="151" w:lineRule="exact"/>
        <w:rPr>
          <w:sz w:val="20"/>
          <w:szCs w:val="20"/>
          <w:color w:val="auto"/>
        </w:rPr>
      </w:pPr>
    </w:p>
    <w:p>
      <w:pPr>
        <w:ind w:right="300"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desires the Warrant Agent to act on behalf of the Company, and the Warrant Agent is willing so to act,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Securities and Warrants </w:t>
      </w:r>
      <w:r>
        <w:rPr>
          <w:rFonts w:ascii="Arial" w:cs="Arial" w:eastAsia="Arial" w:hAnsi="Arial"/>
          <w:sz w:val="16"/>
          <w:szCs w:val="16"/>
          <w:color w:val="auto"/>
        </w:rPr>
        <w:t>—Warrant Certificates will be issued in connection with the issuance of the Other Securities but shall be separately transferable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each Warrant Certificate shall 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 xml:space="preserve">1.2 Execution and Delivery of Warrant Certificates. </w:t>
      </w:r>
      <w:r>
        <w:rPr>
          <w:rFonts w:ascii="Arial" w:cs="Arial" w:eastAsia="Arial" w:hAnsi="Arial"/>
          <w:sz w:val="17"/>
          <w:szCs w:val="17"/>
          <w:color w:val="auto"/>
        </w:rPr>
        <w:t>Each Warrant Certificate, whenever issued, shall be in registered form substantially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form set forth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18" w:name="page119"/>
    <w:bookmarkEnd w:id="118"/>
    <w:p>
      <w:pPr>
        <w:jc w:val="both"/>
        <w:ind w:right="20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4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2.1 Warrant Price. </w:t>
      </w:r>
      <w:r>
        <w:rPr>
          <w:rFonts w:ascii="Arial" w:cs="Arial" w:eastAsia="Arial" w:hAnsi="Arial"/>
          <w:sz w:val="18"/>
          <w:szCs w:val="18"/>
          <w:color w:val="auto"/>
        </w:rPr>
        <w:t>During the period specified in Section 2.2, each Warrant shall, subject to the terms of this Agreement and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w:t>
      </w:r>
    </w:p>
    <w:p>
      <w:pPr>
        <w:spacing w:after="0" w:line="18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2.2 Duration of Warrants. </w:t>
      </w:r>
      <w:r>
        <w:rPr>
          <w:rFonts w:ascii="Arial" w:cs="Arial" w:eastAsia="Arial" w:hAnsi="Arial"/>
          <w:sz w:val="18"/>
          <w:szCs w:val="18"/>
          <w:color w:val="auto"/>
        </w:rPr>
        <w:t>Each Warrant may be exercised in whole or in part at any time, as specified herein, on or after [the date thereof] [●]</w:t>
      </w:r>
      <w:r>
        <w:rPr>
          <w:rFonts w:ascii="Arial" w:cs="Arial" w:eastAsia="Arial" w:hAnsi="Arial"/>
          <w:sz w:val="18"/>
          <w:szCs w:val="18"/>
          <w:b w:val="1"/>
          <w:bCs w:val="1"/>
          <w:color w:val="auto"/>
        </w:rPr>
        <w:t xml:space="preserve"> </w:t>
      </w:r>
      <w:r>
        <w:rPr>
          <w:rFonts w:ascii="Arial" w:cs="Arial" w:eastAsia="Arial" w:hAnsi="Arial"/>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Exercise of Warrants.</w:t>
      </w:r>
    </w:p>
    <w:p>
      <w:pPr>
        <w:spacing w:after="0" w:line="229" w:lineRule="exact"/>
        <w:rPr>
          <w:sz w:val="20"/>
          <w:szCs w:val="20"/>
          <w:color w:val="auto"/>
        </w:rPr>
      </w:pPr>
    </w:p>
    <w:p>
      <w:pPr>
        <w:ind w:right="100" w:firstLine="987"/>
        <w:spacing w:after="0" w:line="286" w:lineRule="auto"/>
        <w:tabs>
          <w:tab w:leader="none" w:pos="1381" w:val="left"/>
        </w:tabs>
        <w:numPr>
          <w:ilvl w:val="0"/>
          <w:numId w:val="100"/>
        </w:numPr>
        <w:rPr>
          <w:rFonts w:ascii="Arial" w:cs="Arial" w:eastAsia="Arial" w:hAnsi="Arial"/>
          <w:sz w:val="17"/>
          <w:szCs w:val="17"/>
          <w:b w:val="1"/>
          <w:bCs w:val="1"/>
          <w:color w:val="auto"/>
        </w:rPr>
      </w:pPr>
      <w:r>
        <w:rPr>
          <w:rFonts w:ascii="Arial" w:cs="Arial" w:eastAsia="Arial" w:hAnsi="Arial"/>
          <w:sz w:val="17"/>
          <w:szCs w:val="17"/>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19" w:name="page120"/>
    <w:bookmarkEnd w:id="11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67" w:lineRule="exact"/>
        <w:rPr>
          <w:sz w:val="20"/>
          <w:szCs w:val="20"/>
          <w:color w:val="auto"/>
        </w:rPr>
      </w:pPr>
    </w:p>
    <w:p>
      <w:pPr>
        <w:ind w:right="120" w:firstLine="987"/>
        <w:spacing w:after="0" w:line="301" w:lineRule="auto"/>
        <w:tabs>
          <w:tab w:leader="none" w:pos="1388"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57" w:lineRule="exact"/>
        <w:rPr>
          <w:rFonts w:ascii="Arial" w:cs="Arial" w:eastAsia="Arial" w:hAnsi="Arial"/>
          <w:sz w:val="16"/>
          <w:szCs w:val="16"/>
          <w:b w:val="1"/>
          <w:bCs w:val="1"/>
          <w:color w:val="auto"/>
        </w:rPr>
      </w:pPr>
    </w:p>
    <w:p>
      <w:pPr>
        <w:ind w:right="20" w:firstLine="987"/>
        <w:spacing w:after="0" w:line="257" w:lineRule="auto"/>
        <w:tabs>
          <w:tab w:leader="none" w:pos="1361"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7" w:lineRule="exact"/>
        <w:rPr>
          <w:rFonts w:ascii="Arial" w:cs="Arial" w:eastAsia="Arial" w:hAnsi="Arial"/>
          <w:sz w:val="18"/>
          <w:szCs w:val="18"/>
          <w:b w:val="1"/>
          <w:bCs w:val="1"/>
          <w:color w:val="auto"/>
        </w:rPr>
      </w:pPr>
    </w:p>
    <w:p>
      <w:pPr>
        <w:ind w:firstLine="987"/>
        <w:spacing w:after="0" w:line="259" w:lineRule="auto"/>
        <w:tabs>
          <w:tab w:leader="none" w:pos="1388"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86" w:lineRule="exact"/>
        <w:rPr>
          <w:rFonts w:ascii="Arial" w:cs="Arial" w:eastAsia="Arial" w:hAnsi="Arial"/>
          <w:sz w:val="18"/>
          <w:szCs w:val="18"/>
          <w:b w:val="1"/>
          <w:bCs w:val="1"/>
          <w:color w:val="auto"/>
        </w:rPr>
      </w:pPr>
    </w:p>
    <w:p>
      <w:pPr>
        <w:ind w:right="120" w:firstLine="987"/>
        <w:spacing w:after="0" w:line="342" w:lineRule="auto"/>
        <w:tabs>
          <w:tab w:leader="none" w:pos="1371"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PROVISIONS RELATING TO RIGHTS OF HOLDERS OF WARRANT CERTIFICATES</w:t>
      </w:r>
    </w:p>
    <w:p>
      <w:pPr>
        <w:spacing w:after="0" w:line="225"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 xml:space="preserve">3.1 No Rights as Warrant Securityholder Conferred by Warrants or Warrant Certificates. </w:t>
      </w:r>
      <w:r>
        <w:rPr>
          <w:rFonts w:ascii="Arial" w:cs="Arial" w:eastAsia="Arial" w:hAnsi="Arial"/>
          <w:sz w:val="18"/>
          <w:szCs w:val="18"/>
          <w:color w:val="auto"/>
        </w:rPr>
        <w:t>No Warrant Certificate or Warrant evidenced</w:t>
      </w:r>
      <w:r>
        <w:rPr>
          <w:rFonts w:ascii="Arial" w:cs="Arial" w:eastAsia="Arial" w:hAnsi="Arial"/>
          <w:sz w:val="18"/>
          <w:szCs w:val="18"/>
          <w:b w:val="1"/>
          <w:bCs w:val="1"/>
          <w:color w:val="auto"/>
        </w:rPr>
        <w:t xml:space="preserve"> </w:t>
      </w:r>
      <w:r>
        <w:rPr>
          <w:rFonts w:ascii="Arial" w:cs="Arial" w:eastAsia="Arial" w:hAnsi="Arial"/>
          <w:sz w:val="18"/>
          <w:szCs w:val="18"/>
          <w:color w:val="auto"/>
        </w:rPr>
        <w:t>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8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3.2 Lost, Stolen, Mutilated or Destroyed Warrant Certificates. </w:t>
      </w:r>
      <w:r>
        <w:rPr>
          <w:rFonts w:ascii="Arial" w:cs="Arial" w:eastAsia="Arial" w:hAnsi="Arial"/>
          <w:sz w:val="16"/>
          <w:szCs w:val="16"/>
          <w:color w:val="auto"/>
        </w:rPr>
        <w:t>Upon receipt by the Warrant Agent of evidence reasonably satisfactory to it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64"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3.3 Holder of Warrant Certificate May Enforce Rights. </w:t>
      </w:r>
      <w:r>
        <w:rPr>
          <w:rFonts w:ascii="Arial" w:cs="Arial" w:eastAsia="Arial" w:hAnsi="Arial"/>
          <w:sz w:val="18"/>
          <w:szCs w:val="18"/>
          <w:color w:val="auto"/>
        </w:rPr>
        <w:t>Notwithstanding any of the provisions of this Agreement, any holder of a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Adjustments.</w:t>
      </w:r>
    </w:p>
    <w:p>
      <w:pPr>
        <w:spacing w:after="0" w:line="229" w:lineRule="exact"/>
        <w:rPr>
          <w:sz w:val="20"/>
          <w:szCs w:val="20"/>
          <w:color w:val="auto"/>
        </w:rPr>
      </w:pPr>
    </w:p>
    <w:p>
      <w:pPr>
        <w:ind w:right="180" w:firstLine="987"/>
        <w:spacing w:after="0" w:line="255" w:lineRule="auto"/>
        <w:tabs>
          <w:tab w:leader="none" w:pos="1381"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92" w:lineRule="exact"/>
        <w:rPr>
          <w:rFonts w:ascii="Arial" w:cs="Arial" w:eastAsia="Arial" w:hAnsi="Arial"/>
          <w:sz w:val="18"/>
          <w:szCs w:val="18"/>
          <w:b w:val="1"/>
          <w:bCs w:val="1"/>
          <w:color w:val="auto"/>
        </w:rPr>
      </w:pPr>
    </w:p>
    <w:p>
      <w:pPr>
        <w:ind w:firstLine="987"/>
        <w:spacing w:after="0" w:line="263" w:lineRule="auto"/>
        <w:tabs>
          <w:tab w:leader="none" w:pos="1391"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21" w:name="page122"/>
    <w:bookmarkEnd w:id="121"/>
    <w:p>
      <w:pPr>
        <w:ind w:right="280" w:firstLine="1428"/>
        <w:spacing w:after="0" w:line="286" w:lineRule="auto"/>
        <w:tabs>
          <w:tab w:leader="none" w:pos="1782" w:val="left"/>
        </w:tabs>
        <w:numPr>
          <w:ilvl w:val="1"/>
          <w:numId w:val="10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65" w:lineRule="exact"/>
        <w:rPr>
          <w:rFonts w:ascii="Arial" w:cs="Arial" w:eastAsia="Arial" w:hAnsi="Arial"/>
          <w:sz w:val="17"/>
          <w:szCs w:val="17"/>
          <w:b w:val="1"/>
          <w:bCs w:val="1"/>
          <w:color w:val="auto"/>
        </w:rPr>
      </w:pPr>
    </w:p>
    <w:p>
      <w:pPr>
        <w:ind w:right="120" w:firstLine="1428"/>
        <w:spacing w:after="0" w:line="277" w:lineRule="auto"/>
        <w:tabs>
          <w:tab w:leader="none" w:pos="1832"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70" w:lineRule="exact"/>
        <w:rPr>
          <w:rFonts w:ascii="Arial" w:cs="Arial" w:eastAsia="Arial" w:hAnsi="Arial"/>
          <w:sz w:val="18"/>
          <w:szCs w:val="18"/>
          <w:b w:val="1"/>
          <w:bCs w:val="1"/>
          <w:color w:val="auto"/>
        </w:rPr>
      </w:pPr>
    </w:p>
    <w:p>
      <w:pPr>
        <w:ind w:left="1880" w:hanging="452"/>
        <w:spacing w:after="0"/>
        <w:tabs>
          <w:tab w:leader="none" w:pos="1880" w:val="left"/>
        </w:tabs>
        <w:numPr>
          <w:ilvl w:val="1"/>
          <w:numId w:val="103"/>
        </w:numPr>
        <w:rPr>
          <w:rFonts w:ascii="Arial" w:cs="Arial" w:eastAsia="Arial" w:hAnsi="Arial"/>
          <w:sz w:val="17"/>
          <w:szCs w:val="17"/>
          <w:b w:val="1"/>
          <w:bCs w:val="1"/>
          <w:color w:val="auto"/>
        </w:rPr>
      </w:pPr>
      <w:r>
        <w:rPr>
          <w:rFonts w:ascii="Arial" w:cs="Arial" w:eastAsia="Arial" w:hAnsi="Arial"/>
          <w:sz w:val="17"/>
          <w:szCs w:val="17"/>
          <w:color w:val="auto"/>
        </w:rPr>
        <w:t>any evidence of the Company’s indebtedness or rights to subscribe for or purchase the Company’s indebtedness; or</w:t>
      </w:r>
    </w:p>
    <w:p>
      <w:pPr>
        <w:spacing w:after="0" w:line="236" w:lineRule="exact"/>
        <w:rPr>
          <w:rFonts w:ascii="Arial" w:cs="Arial" w:eastAsia="Arial" w:hAnsi="Arial"/>
          <w:sz w:val="17"/>
          <w:szCs w:val="17"/>
          <w:b w:val="1"/>
          <w:bCs w:val="1"/>
          <w:color w:val="auto"/>
        </w:rPr>
      </w:pPr>
    </w:p>
    <w:p>
      <w:pPr>
        <w:ind w:firstLine="1428"/>
        <w:spacing w:after="0" w:line="290" w:lineRule="auto"/>
        <w:tabs>
          <w:tab w:leader="none" w:pos="1872" w:val="left"/>
        </w:tabs>
        <w:numPr>
          <w:ilvl w:val="1"/>
          <w:numId w:val="103"/>
        </w:numPr>
        <w:rPr>
          <w:rFonts w:ascii="Arial" w:cs="Arial" w:eastAsia="Arial" w:hAnsi="Arial"/>
          <w:sz w:val="16"/>
          <w:szCs w:val="16"/>
          <w:b w:val="1"/>
          <w:bCs w:val="1"/>
          <w:color w:val="auto"/>
        </w:rPr>
      </w:pPr>
      <w:r>
        <w:rPr>
          <w:rFonts w:ascii="Arial" w:cs="Arial" w:eastAsia="Arial" w:hAnsi="Arial"/>
          <w:sz w:val="16"/>
          <w:szCs w:val="16"/>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65" w:lineRule="exact"/>
        <w:rPr>
          <w:rFonts w:ascii="Arial" w:cs="Arial" w:eastAsia="Arial" w:hAnsi="Arial"/>
          <w:sz w:val="16"/>
          <w:szCs w:val="16"/>
          <w:b w:val="1"/>
          <w:bCs w:val="1"/>
          <w:color w:val="auto"/>
        </w:rPr>
      </w:pPr>
    </w:p>
    <w:p>
      <w:pPr>
        <w:ind w:right="60" w:firstLine="987"/>
        <w:spacing w:after="0" w:line="285" w:lineRule="auto"/>
        <w:tabs>
          <w:tab w:leader="none" w:pos="1371"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Arial" w:cs="Arial" w:eastAsia="Arial" w:hAnsi="Arial"/>
          <w:sz w:val="16"/>
          <w:szCs w:val="16"/>
          <w:b w:val="1"/>
          <w:bCs w:val="1"/>
          <w:i w:val="1"/>
          <w:iCs w:val="1"/>
          <w:color w:val="auto"/>
        </w:rPr>
        <w:t>Reorganization Event</w:t>
      </w:r>
      <w:r>
        <w:rPr>
          <w:rFonts w:ascii="Arial" w:cs="Arial" w:eastAsia="Arial" w:hAnsi="Arial"/>
          <w:sz w:val="16"/>
          <w:szCs w:val="16"/>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22" w:name="page123"/>
    <w:bookmarkEnd w:id="12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65" w:lineRule="exact"/>
        <w:rPr>
          <w:sz w:val="20"/>
          <w:szCs w:val="20"/>
          <w:color w:val="auto"/>
        </w:rPr>
      </w:pPr>
    </w:p>
    <w:p>
      <w:pPr>
        <w:ind w:right="140" w:firstLine="987"/>
        <w:spacing w:after="0" w:line="311" w:lineRule="auto"/>
        <w:tabs>
          <w:tab w:leader="none" w:pos="1388"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48" w:lineRule="exact"/>
        <w:rPr>
          <w:rFonts w:ascii="Arial" w:cs="Arial" w:eastAsia="Arial" w:hAnsi="Arial"/>
          <w:sz w:val="16"/>
          <w:szCs w:val="16"/>
          <w:b w:val="1"/>
          <w:bCs w:val="1"/>
          <w:color w:val="auto"/>
        </w:rPr>
      </w:pPr>
    </w:p>
    <w:p>
      <w:pPr>
        <w:ind w:right="320" w:firstLine="987"/>
        <w:spacing w:after="0" w:line="277" w:lineRule="auto"/>
        <w:tabs>
          <w:tab w:leader="none" w:pos="1371"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Except as herein otherwise expressly provided, no adjustment in the Warrant Price shall be made by reason of the issuance of any securities of the Company or for any other reason whatsoever.</w:t>
      </w:r>
    </w:p>
    <w:p>
      <w:pPr>
        <w:spacing w:after="0" w:line="170" w:lineRule="exact"/>
        <w:rPr>
          <w:rFonts w:ascii="Arial" w:cs="Arial" w:eastAsia="Arial" w:hAnsi="Arial"/>
          <w:sz w:val="18"/>
          <w:szCs w:val="18"/>
          <w:b w:val="1"/>
          <w:bCs w:val="1"/>
          <w:color w:val="auto"/>
        </w:rPr>
      </w:pPr>
    </w:p>
    <w:p>
      <w:pPr>
        <w:ind w:right="20" w:firstLine="987"/>
        <w:spacing w:after="0" w:line="268" w:lineRule="auto"/>
        <w:tabs>
          <w:tab w:leader="none" w:pos="1351" w:val="left"/>
        </w:tabs>
        <w:numPr>
          <w:ilvl w:val="0"/>
          <w:numId w:val="105"/>
        </w:numPr>
        <w:rPr>
          <w:rFonts w:ascii="Arial" w:cs="Arial" w:eastAsia="Arial" w:hAnsi="Arial"/>
          <w:sz w:val="17"/>
          <w:szCs w:val="17"/>
          <w:b w:val="1"/>
          <w:bCs w:val="1"/>
          <w:color w:val="auto"/>
        </w:rPr>
      </w:pPr>
      <w:r>
        <w:rPr>
          <w:rFonts w:ascii="Arial" w:cs="Arial" w:eastAsia="Arial" w:hAnsi="Arial"/>
          <w:sz w:val="17"/>
          <w:szCs w:val="17"/>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7"/>
          <w:szCs w:val="17"/>
          <w:b w:val="1"/>
          <w:bCs w:val="1"/>
          <w:i w:val="1"/>
          <w:iCs w:val="1"/>
          <w:color w:val="auto"/>
        </w:rPr>
        <w:t>OTC Bulletin Board</w:t>
      </w:r>
      <w:r>
        <w:rPr>
          <w:rFonts w:ascii="Arial" w:cs="Arial" w:eastAsia="Arial" w:hAnsi="Arial"/>
          <w:sz w:val="17"/>
          <w:szCs w:val="17"/>
          <w:color w:val="auto"/>
        </w:rPr>
        <w:t>”) operated by the Financial Industry Regulatory Authority, Inc. (“</w:t>
      </w:r>
      <w:r>
        <w:rPr>
          <w:rFonts w:ascii="Arial" w:cs="Arial" w:eastAsia="Arial" w:hAnsi="Arial"/>
          <w:sz w:val="17"/>
          <w:szCs w:val="17"/>
          <w:b w:val="1"/>
          <w:bCs w:val="1"/>
          <w:i w:val="1"/>
          <w:iCs w:val="1"/>
          <w:color w:val="auto"/>
        </w:rPr>
        <w:t>FINRA</w:t>
      </w:r>
      <w:r>
        <w:rPr>
          <w:rFonts w:ascii="Arial" w:cs="Arial" w:eastAsia="Arial" w:hAnsi="Arial"/>
          <w:sz w:val="17"/>
          <w:szCs w:val="17"/>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84" w:lineRule="exact"/>
        <w:rPr>
          <w:rFonts w:ascii="Arial" w:cs="Arial" w:eastAsia="Arial" w:hAnsi="Arial"/>
          <w:sz w:val="17"/>
          <w:szCs w:val="17"/>
          <w:b w:val="1"/>
          <w:bCs w:val="1"/>
          <w:color w:val="auto"/>
        </w:rPr>
      </w:pPr>
    </w:p>
    <w:p>
      <w:pPr>
        <w:jc w:val="both"/>
        <w:ind w:right="220" w:firstLine="987"/>
        <w:spacing w:after="0" w:line="286" w:lineRule="auto"/>
        <w:tabs>
          <w:tab w:leader="none" w:pos="1378" w:val="left"/>
        </w:tabs>
        <w:numPr>
          <w:ilvl w:val="0"/>
          <w:numId w:val="105"/>
        </w:numPr>
        <w:rPr>
          <w:rFonts w:ascii="Arial" w:cs="Arial" w:eastAsia="Arial" w:hAnsi="Arial"/>
          <w:sz w:val="17"/>
          <w:szCs w:val="17"/>
          <w:b w:val="1"/>
          <w:bCs w:val="1"/>
          <w:color w:val="auto"/>
        </w:rPr>
      </w:pPr>
      <w:r>
        <w:rPr>
          <w:rFonts w:ascii="Arial" w:cs="Arial" w:eastAsia="Arial" w:hAnsi="Arial"/>
          <w:sz w:val="17"/>
          <w:szCs w:val="17"/>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65" w:lineRule="exact"/>
        <w:rPr>
          <w:rFonts w:ascii="Arial" w:cs="Arial" w:eastAsia="Arial" w:hAnsi="Arial"/>
          <w:sz w:val="17"/>
          <w:szCs w:val="17"/>
          <w:b w:val="1"/>
          <w:bCs w:val="1"/>
          <w:color w:val="auto"/>
        </w:rPr>
      </w:pPr>
    </w:p>
    <w:p>
      <w:pPr>
        <w:ind w:right="20" w:firstLine="987"/>
        <w:spacing w:after="0" w:line="277" w:lineRule="auto"/>
        <w:tabs>
          <w:tab w:leader="none" w:pos="1391"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23" w:name="page124"/>
    <w:bookmarkEnd w:id="123"/>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3.5 Notice to Warrantholders. </w:t>
      </w:r>
      <w:r>
        <w:rPr>
          <w:rFonts w:ascii="Arial" w:cs="Arial" w:eastAsia="Arial" w:hAnsi="Arial"/>
          <w:sz w:val="17"/>
          <w:szCs w:val="17"/>
          <w:color w:val="auto"/>
        </w:rPr>
        <w:t>In case the Company shall (a) effect any dividend or distribution described in Section 3.4(b), (b) effect any</w:t>
      </w:r>
      <w:r>
        <w:rPr>
          <w:rFonts w:ascii="Arial" w:cs="Arial" w:eastAsia="Arial" w:hAnsi="Arial"/>
          <w:sz w:val="17"/>
          <w:szCs w:val="17"/>
          <w:b w:val="1"/>
          <w:bCs w:val="1"/>
          <w:color w:val="auto"/>
        </w:rPr>
        <w:t xml:space="preserve"> </w:t>
      </w:r>
      <w:r>
        <w:rPr>
          <w:rFonts w:ascii="Arial" w:cs="Arial" w:eastAsia="Arial" w:hAnsi="Arial"/>
          <w:sz w:val="17"/>
          <w:szCs w:val="17"/>
          <w:color w:val="auto"/>
        </w:rPr>
        <w:t>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7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color w:val="auto"/>
        </w:rPr>
        <w:t>[If the Warrants are Subject to Acceleration by the Company, Insert — Acceleration of Warrants by the Company.</w:t>
      </w:r>
    </w:p>
    <w:p>
      <w:pPr>
        <w:spacing w:after="0" w:line="229" w:lineRule="exact"/>
        <w:rPr>
          <w:sz w:val="20"/>
          <w:szCs w:val="20"/>
          <w:color w:val="auto"/>
        </w:rPr>
      </w:pPr>
    </w:p>
    <w:p>
      <w:pPr>
        <w:ind w:right="140" w:firstLine="987"/>
        <w:spacing w:after="0" w:line="275" w:lineRule="auto"/>
        <w:tabs>
          <w:tab w:leader="none" w:pos="1371" w:val="left"/>
        </w:tabs>
        <w:numPr>
          <w:ilvl w:val="0"/>
          <w:numId w:val="106"/>
        </w:numPr>
        <w:rPr>
          <w:rFonts w:ascii="Arial" w:cs="Arial" w:eastAsia="Arial" w:hAnsi="Arial"/>
          <w:sz w:val="17"/>
          <w:szCs w:val="17"/>
          <w:b w:val="1"/>
          <w:bCs w:val="1"/>
          <w:color w:val="auto"/>
        </w:rPr>
      </w:pPr>
      <w:r>
        <w:rPr>
          <w:rFonts w:ascii="Arial" w:cs="Arial" w:eastAsia="Arial" w:hAnsi="Arial"/>
          <w:sz w:val="17"/>
          <w:szCs w:val="17"/>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7"/>
          <w:szCs w:val="17"/>
          <w:b w:val="1"/>
          <w:bCs w:val="1"/>
          <w:i w:val="1"/>
          <w:iCs w:val="1"/>
          <w:color w:val="auto"/>
        </w:rPr>
        <w:t>Acceleration Date</w:t>
      </w:r>
      <w:r>
        <w:rPr>
          <w:rFonts w:ascii="Arial" w:cs="Arial" w:eastAsia="Arial" w:hAnsi="Arial"/>
          <w:sz w:val="17"/>
          <w:szCs w:val="17"/>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72" w:lineRule="exact"/>
        <w:rPr>
          <w:rFonts w:ascii="Arial" w:cs="Arial" w:eastAsia="Arial" w:hAnsi="Arial"/>
          <w:sz w:val="17"/>
          <w:szCs w:val="17"/>
          <w:b w:val="1"/>
          <w:bCs w:val="1"/>
          <w:color w:val="auto"/>
        </w:rPr>
      </w:pPr>
    </w:p>
    <w:p>
      <w:pPr>
        <w:ind w:firstLine="987"/>
        <w:spacing w:after="0" w:line="287" w:lineRule="auto"/>
        <w:tabs>
          <w:tab w:leader="none" w:pos="1391"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w:t>
      </w:r>
      <w:r>
        <w:rPr>
          <w:rFonts w:ascii="Arial" w:cs="Arial" w:eastAsia="Arial" w:hAnsi="Arial"/>
          <w:sz w:val="16"/>
          <w:szCs w:val="16"/>
          <w:b w:val="1"/>
          <w:bCs w:val="1"/>
          <w:i w:val="1"/>
          <w:iCs w:val="1"/>
          <w:color w:val="auto"/>
        </w:rPr>
        <w:t>Market Price</w:t>
      </w:r>
      <w:r>
        <w:rPr>
          <w:rFonts w:ascii="Arial" w:cs="Arial" w:eastAsia="Arial" w:hAnsi="Arial"/>
          <w:sz w:val="16"/>
          <w:szCs w:val="16"/>
          <w:color w:val="auto"/>
        </w:rPr>
        <w:t>” for each Trading Day shall be, if the [title of Preferred Stock purchasable through exercise of Warrants] is listed</w:t>
      </w:r>
      <w:r>
        <w:rPr>
          <w:rFonts w:ascii="Arial" w:cs="Arial" w:eastAsia="Arial" w:hAnsi="Arial"/>
          <w:sz w:val="16"/>
          <w:szCs w:val="16"/>
          <w:b w:val="1"/>
          <w:bCs w:val="1"/>
          <w:color w:val="auto"/>
        </w:rPr>
        <w:t xml:space="preserve"> </w:t>
      </w:r>
      <w:r>
        <w:rPr>
          <w:rFonts w:ascii="Arial" w:cs="Arial" w:eastAsia="Arial" w:hAnsi="Arial"/>
          <w:sz w:val="16"/>
          <w:szCs w:val="16"/>
          <w:color w:val="auto"/>
        </w:rPr>
        <w:t>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w:t>
      </w:r>
    </w:p>
    <w:p>
      <w:pPr>
        <w:spacing w:after="0" w:line="171" w:lineRule="exact"/>
        <w:rPr>
          <w:rFonts w:ascii="Arial" w:cs="Arial" w:eastAsia="Arial" w:hAnsi="Arial"/>
          <w:sz w:val="16"/>
          <w:szCs w:val="16"/>
          <w:b w:val="1"/>
          <w:bCs w:val="1"/>
          <w:color w:val="auto"/>
        </w:rPr>
      </w:pPr>
    </w:p>
    <w:p>
      <w:pPr>
        <w:ind w:right="260" w:firstLine="987"/>
        <w:spacing w:after="0" w:line="277" w:lineRule="auto"/>
        <w:tabs>
          <w:tab w:leader="none" w:pos="1371"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In the event of an acceleration of less than all of the Warrants, the Warrant Agent shall select the Warrants to be accelerated by lot, pro rata or in such other manner as it deems, in its discretion, to be fair and appropriate.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24" w:name="page125"/>
    <w:bookmarkEnd w:id="124"/>
    <w:p>
      <w:pPr>
        <w:ind w:firstLine="987"/>
        <w:spacing w:after="0" w:line="257" w:lineRule="auto"/>
        <w:tabs>
          <w:tab w:leader="none" w:pos="1391"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87" w:lineRule="exact"/>
        <w:rPr>
          <w:rFonts w:ascii="Arial" w:cs="Arial" w:eastAsia="Arial" w:hAnsi="Arial"/>
          <w:sz w:val="18"/>
          <w:szCs w:val="18"/>
          <w:b w:val="1"/>
          <w:bCs w:val="1"/>
          <w:color w:val="auto"/>
        </w:rPr>
      </w:pPr>
    </w:p>
    <w:p>
      <w:pPr>
        <w:ind w:right="80" w:firstLine="987"/>
        <w:spacing w:after="0" w:line="277" w:lineRule="auto"/>
        <w:tabs>
          <w:tab w:leader="none" w:pos="1361"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Any Warrant accelerated may be exercised until [●] p.m., [City] time, on the business day next preceding the Acceleration Date. The Warrant Price shall be payable as provided in Section 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4.1 Exchange and Transfer of Warrant Certificates. </w:t>
      </w:r>
      <w:r>
        <w:rPr>
          <w:rFonts w:ascii="Arial" w:cs="Arial" w:eastAsia="Arial" w:hAnsi="Arial"/>
          <w:sz w:val="16"/>
          <w:szCs w:val="16"/>
          <w:color w:val="auto"/>
        </w:rPr>
        <w:t>Upon surrender at the corporate trust office of the Warrant Agent, Warrant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4"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 a</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WARRANT AGENT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7"/>
          <w:szCs w:val="17"/>
          <w:b w:val="1"/>
          <w:bCs w:val="1"/>
          <w:color w:val="auto"/>
        </w:rPr>
        <w:t xml:space="preserve">5.1 Warrant Agent. </w:t>
      </w:r>
      <w:r>
        <w:rPr>
          <w:rFonts w:ascii="Arial" w:cs="Arial" w:eastAsia="Arial" w:hAnsi="Arial"/>
          <w:sz w:val="17"/>
          <w:szCs w:val="17"/>
          <w:color w:val="auto"/>
        </w:rPr>
        <w:t>The Company hereby appoints [●] as Warrant Agent of the Company in respect of the Warrants and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68"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176" w:lineRule="exact"/>
        <w:rPr>
          <w:sz w:val="20"/>
          <w:szCs w:val="20"/>
          <w:color w:val="auto"/>
        </w:rPr>
      </w:pPr>
    </w:p>
    <w:p>
      <w:pPr>
        <w:ind w:right="60" w:firstLine="987"/>
        <w:spacing w:after="0" w:line="294" w:lineRule="auto"/>
        <w:tabs>
          <w:tab w:leader="none" w:pos="1381"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right="200" w:firstLine="987"/>
        <w:spacing w:after="0" w:line="266" w:lineRule="auto"/>
        <w:tabs>
          <w:tab w:leader="none" w:pos="1391"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75" w:lineRule="exact"/>
        <w:rPr>
          <w:rFonts w:ascii="Arial" w:cs="Arial" w:eastAsia="Arial" w:hAnsi="Arial"/>
          <w:sz w:val="18"/>
          <w:szCs w:val="18"/>
          <w:b w:val="1"/>
          <w:bCs w:val="1"/>
          <w:color w:val="auto"/>
        </w:rPr>
      </w:pPr>
    </w:p>
    <w:p>
      <w:pPr>
        <w:ind w:right="60" w:firstLine="987"/>
        <w:spacing w:after="0" w:line="266" w:lineRule="auto"/>
        <w:tabs>
          <w:tab w:leader="none" w:pos="1371"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Counsel. </w:t>
      </w:r>
      <w:r>
        <w:rPr>
          <w:rFonts w:ascii="Arial" w:cs="Arial" w:eastAsia="Arial" w:hAnsi="Arial"/>
          <w:sz w:val="18"/>
          <w:szCs w:val="18"/>
          <w:color w:val="auto"/>
        </w:rPr>
        <w:t>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jc w:val="both"/>
        <w:ind w:right="60" w:firstLine="987"/>
        <w:spacing w:after="0" w:line="266" w:lineRule="auto"/>
        <w:tabs>
          <w:tab w:leader="none" w:pos="1391"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firstLine="987"/>
        <w:spacing w:after="0" w:line="256" w:lineRule="auto"/>
        <w:tabs>
          <w:tab w:leader="none" w:pos="1371"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Transactions. </w:t>
      </w:r>
      <w:r>
        <w:rPr>
          <w:rFonts w:ascii="Arial" w:cs="Arial" w:eastAsia="Arial" w:hAnsi="Arial"/>
          <w:sz w:val="18"/>
          <w:szCs w:val="18"/>
          <w:color w:val="auto"/>
        </w:rPr>
        <w:t>The Warrant Agent, and its officers, directors and employees, may become the owner of, or acquire any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26" w:name="page127"/>
    <w:bookmarkEnd w:id="126"/>
    <w:p>
      <w:pPr>
        <w:ind w:right="220" w:firstLine="987"/>
        <w:spacing w:after="0" w:line="282" w:lineRule="auto"/>
        <w:tabs>
          <w:tab w:leader="none" w:pos="1351"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Liability for Interest. </w:t>
      </w:r>
      <w:r>
        <w:rPr>
          <w:rFonts w:ascii="Arial" w:cs="Arial" w:eastAsia="Arial" w:hAnsi="Arial"/>
          <w:sz w:val="18"/>
          <w:szCs w:val="18"/>
          <w:color w:val="auto"/>
        </w:rPr>
        <w:t>Unless otherwise agreed with the Company, the Warrant Agent shall have no liability for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right="120" w:firstLine="987"/>
        <w:spacing w:after="0" w:line="282" w:lineRule="auto"/>
        <w:tabs>
          <w:tab w:leader="none" w:pos="1381"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right="80" w:firstLine="987"/>
        <w:spacing w:after="0" w:line="312" w:lineRule="auto"/>
        <w:tabs>
          <w:tab w:leader="none" w:pos="1391"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Representations. </w:t>
      </w:r>
      <w:r>
        <w:rPr>
          <w:rFonts w:ascii="Arial" w:cs="Arial" w:eastAsia="Arial" w:hAnsi="Arial"/>
          <w:sz w:val="17"/>
          <w:szCs w:val="17"/>
          <w:color w:val="auto"/>
        </w:rPr>
        <w:t>The Warrant Agent shall not be responsible for any of the recitals or representations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Warrant Certificates (except as to the Warrant Agent’s countersignature thereon), all of which are made solely by the Company.</w:t>
      </w:r>
    </w:p>
    <w:p>
      <w:pPr>
        <w:spacing w:after="0" w:line="139" w:lineRule="exact"/>
        <w:rPr>
          <w:rFonts w:ascii="Arial" w:cs="Arial" w:eastAsia="Arial" w:hAnsi="Arial"/>
          <w:sz w:val="17"/>
          <w:szCs w:val="17"/>
          <w:b w:val="1"/>
          <w:bCs w:val="1"/>
          <w:color w:val="auto"/>
        </w:rPr>
      </w:pPr>
    </w:p>
    <w:p>
      <w:pPr>
        <w:ind w:firstLine="987"/>
        <w:spacing w:after="0" w:line="270" w:lineRule="auto"/>
        <w:tabs>
          <w:tab w:leader="none" w:pos="1341"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Implied Obligations. </w:t>
      </w:r>
      <w:r>
        <w:rPr>
          <w:rFonts w:ascii="Arial" w:cs="Arial" w:eastAsia="Arial" w:hAnsi="Arial"/>
          <w:sz w:val="17"/>
          <w:szCs w:val="17"/>
          <w:color w:val="auto"/>
        </w:rPr>
        <w:t>The Warrant Agent shall be obligated to perform only such duties as are herein and in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7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p>
    <w:p>
      <w:pPr>
        <w:spacing w:after="0" w:line="229" w:lineRule="exact"/>
        <w:rPr>
          <w:sz w:val="20"/>
          <w:szCs w:val="20"/>
          <w:color w:val="auto"/>
        </w:rPr>
      </w:pPr>
    </w:p>
    <w:p>
      <w:pPr>
        <w:ind w:right="360" w:firstLine="987"/>
        <w:spacing w:after="0" w:line="277" w:lineRule="auto"/>
        <w:tabs>
          <w:tab w:leader="none" w:pos="1378"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70" w:lineRule="exact"/>
        <w:rPr>
          <w:rFonts w:ascii="Arial" w:cs="Arial" w:eastAsia="Arial" w:hAnsi="Arial"/>
          <w:sz w:val="18"/>
          <w:szCs w:val="18"/>
          <w:b w:val="1"/>
          <w:bCs w:val="1"/>
          <w:color w:val="auto"/>
        </w:rPr>
      </w:pPr>
    </w:p>
    <w:p>
      <w:pPr>
        <w:ind w:right="40" w:firstLine="987"/>
        <w:spacing w:after="0" w:line="271" w:lineRule="auto"/>
        <w:tabs>
          <w:tab w:leader="none" w:pos="1388" w:val="left"/>
        </w:tabs>
        <w:numPr>
          <w:ilvl w:val="0"/>
          <w:numId w:val="110"/>
        </w:numPr>
        <w:rPr>
          <w:rFonts w:ascii="Arial" w:cs="Arial" w:eastAsia="Arial" w:hAnsi="Arial"/>
          <w:sz w:val="17"/>
          <w:szCs w:val="17"/>
          <w:b w:val="1"/>
          <w:bCs w:val="1"/>
          <w:color w:val="auto"/>
        </w:rPr>
      </w:pPr>
      <w:r>
        <w:rPr>
          <w:rFonts w:ascii="Arial" w:cs="Arial" w:eastAsia="Arial" w:hAnsi="Arial"/>
          <w:sz w:val="17"/>
          <w:szCs w:val="17"/>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right="220" w:firstLine="987"/>
        <w:spacing w:after="0" w:line="257" w:lineRule="auto"/>
        <w:tabs>
          <w:tab w:leader="none" w:pos="1371"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27" w:name="page128"/>
    <w:bookmarkEnd w:id="12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1" w:lineRule="exact"/>
        <w:rPr>
          <w:sz w:val="20"/>
          <w:szCs w:val="20"/>
          <w:color w:val="auto"/>
        </w:rPr>
      </w:pPr>
    </w:p>
    <w:p>
      <w:pPr>
        <w:ind w:firstLine="987"/>
        <w:spacing w:after="0" w:line="255" w:lineRule="auto"/>
        <w:tabs>
          <w:tab w:leader="none" w:pos="1381"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92" w:lineRule="exact"/>
        <w:rPr>
          <w:rFonts w:ascii="Arial" w:cs="Arial" w:eastAsia="Arial" w:hAnsi="Arial"/>
          <w:sz w:val="18"/>
          <w:szCs w:val="18"/>
          <w:b w:val="1"/>
          <w:bCs w:val="1"/>
          <w:color w:val="auto"/>
        </w:rPr>
      </w:pPr>
    </w:p>
    <w:p>
      <w:pPr>
        <w:ind w:firstLine="987"/>
        <w:spacing w:after="0" w:line="257" w:lineRule="auto"/>
        <w:tabs>
          <w:tab w:leader="none" w:pos="1361"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right="200" w:firstLine="440"/>
        <w:spacing w:after="0" w:line="281"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ind w:right="440" w:firstLine="440"/>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 and any communication from the Warrant Agent to the Company with respect to this Agreement shall be addressed to Zoom Video Communications, Inc., 55 Almaden Boulevard, 6th Floor, San Jose, California 95113, Attention: [●] (or such other address as shall be specified in writing by the Warrant Agent or by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28" w:name="page129"/>
    <w:bookmarkEnd w:id="128"/>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6.4 Governing Law. </w:t>
      </w:r>
      <w:r>
        <w:rPr>
          <w:rFonts w:ascii="Arial" w:cs="Arial" w:eastAsia="Arial" w:hAnsi="Arial"/>
          <w:sz w:val="18"/>
          <w:szCs w:val="18"/>
          <w:color w:val="auto"/>
        </w:rPr>
        <w:t>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54"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6.9 Counterparts. </w:t>
      </w:r>
      <w:r>
        <w:rPr>
          <w:rFonts w:ascii="Arial" w:cs="Arial" w:eastAsia="Arial" w:hAnsi="Arial"/>
          <w:sz w:val="18"/>
          <w:szCs w:val="18"/>
          <w:color w:val="auto"/>
        </w:rPr>
        <w:t>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0" w:right="519" w:bottom="1440" w:gutter="0" w:footer="0" w:header="0"/>
        </w:sectPr>
      </w:pPr>
    </w:p>
    <w:bookmarkStart w:id="129" w:name="page130"/>
    <w:bookmarkEnd w:id="129"/>
    <w:p>
      <w:pPr>
        <w:jc w:val="right"/>
        <w:ind w:righ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Agreement to be duly executed as of the day and year first above written.</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Zoom Video Communications, Inc., as Company</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17145</wp:posOffset>
            </wp:positionV>
            <wp:extent cx="21774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171450</wp:posOffset>
            </wp:positionV>
            <wp:extent cx="21774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OUNTERSIGNED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14605</wp:posOffset>
            </wp:positionV>
            <wp:extent cx="21774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17145</wp:posOffset>
            </wp:positionV>
            <wp:extent cx="21774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4535805</wp:posOffset>
            </wp:positionH>
            <wp:positionV relativeFrom="paragraph">
              <wp:posOffset>171450</wp:posOffset>
            </wp:positionV>
            <wp:extent cx="21774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Z</w:t>
      </w:r>
      <w:r>
        <w:rPr>
          <w:rFonts w:ascii="Arial" w:cs="Arial" w:eastAsia="Arial" w:hAnsi="Arial"/>
          <w:sz w:val="14"/>
          <w:szCs w:val="14"/>
          <w:color w:val="auto"/>
        </w:rPr>
        <w:t>OOM</w:t>
      </w:r>
      <w:r>
        <w:rPr>
          <w:rFonts w:ascii="Arial" w:cs="Arial" w:eastAsia="Arial" w:hAnsi="Arial"/>
          <w:sz w:val="18"/>
          <w:szCs w:val="18"/>
          <w:color w:val="auto"/>
        </w:rPr>
        <w:t xml:space="preserve"> V</w:t>
      </w:r>
      <w:r>
        <w:rPr>
          <w:rFonts w:ascii="Arial" w:cs="Arial" w:eastAsia="Arial" w:hAnsi="Arial"/>
          <w:sz w:val="14"/>
          <w:szCs w:val="14"/>
          <w:color w:val="auto"/>
        </w:rPr>
        <w:t>IDEO</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P</w:t>
      </w:r>
      <w:r>
        <w:rPr>
          <w:rFonts w:ascii="Arial" w:cs="Arial" w:eastAsia="Arial" w:hAnsi="Arial"/>
          <w:sz w:val="14"/>
          <w:szCs w:val="14"/>
          <w:color w:val="auto"/>
        </w:rPr>
        <w:t>REFERRED</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700"/>
          </w:cols>
          <w:pgMar w:left="880" w:top="270" w:right="1319" w:bottom="1440" w:gutter="0" w:footer="0" w:header="0"/>
        </w:sectPr>
      </w:pPr>
    </w:p>
    <w:bookmarkStart w:id="130" w:name="page131"/>
    <w:bookmarkEnd w:id="13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820"/>
          </w:cols>
          <w:pgMar w:left="440" w:top="270" w:right="6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20" w:space="720"/>
            <w:col w:w="5080"/>
          </w:cols>
          <w:pgMar w:left="440" w:top="270" w:right="639"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VOID AFTER [●] P.M., [City] time, ON [●].</w:t>
      </w:r>
    </w:p>
    <w:p>
      <w:pPr>
        <w:sectPr>
          <w:pgSz w:w="11900" w:h="16838" w:orient="portrait"/>
          <w:cols w:equalWidth="0" w:num="1">
            <w:col w:w="10820"/>
          </w:cols>
          <w:pgMar w:left="440" w:top="270" w:right="6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WARRANT SECURITIES]</w:t>
      </w:r>
    </w:p>
    <w:p>
      <w:pPr>
        <w:spacing w:after="0" w:line="23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$0.001 per share (the “</w:t>
      </w:r>
      <w:r>
        <w:rPr>
          <w:rFonts w:ascii="Arial" w:cs="Arial" w:eastAsia="Arial" w:hAnsi="Arial"/>
          <w:sz w:val="17"/>
          <w:szCs w:val="17"/>
          <w:b w:val="1"/>
          <w:bCs w:val="1"/>
          <w:i w:val="1"/>
          <w:iCs w:val="1"/>
          <w:color w:val="auto"/>
        </w:rPr>
        <w:t>Warrant Securities</w:t>
      </w:r>
      <w:r>
        <w:rPr>
          <w:rFonts w:ascii="Arial" w:cs="Arial" w:eastAsia="Arial" w:hAnsi="Arial"/>
          <w:sz w:val="17"/>
          <w:szCs w:val="17"/>
          <w:color w:val="auto"/>
        </w:rPr>
        <w:t>”), of Zoom Video Communications,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4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2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132" w:name="page133"/>
    <w:bookmarkEnd w:id="13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6940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Zoom Video Communications, Inc., </w:t>
      </w:r>
      <w:r>
        <w:rPr>
          <w:rFonts w:ascii="Arial" w:cs="Arial" w:eastAsia="Arial" w:hAnsi="Arial"/>
          <w:sz w:val="18"/>
          <w:szCs w:val="18"/>
          <w:color w:val="auto"/>
        </w:rPr>
        <w:t>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171450</wp:posOffset>
            </wp:positionV>
            <wp:extent cx="21774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17145</wp:posOffset>
            </wp:positionV>
            <wp:extent cx="21774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171450</wp:posOffset>
            </wp:positionV>
            <wp:extent cx="21774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ectPr>
          <w:pgSz w:w="11900" w:h="16838" w:orient="portrait"/>
          <w:cols w:equalWidth="0" w:num="1">
            <w:col w:w="10500"/>
          </w:cols>
          <w:pgMar w:left="440" w:top="274" w:right="959" w:bottom="1440" w:gutter="0" w:footer="0" w:header="0"/>
        </w:sectPr>
      </w:pPr>
    </w:p>
    <w:bookmarkStart w:id="133" w:name="page134"/>
    <w:bookmarkEnd w:id="13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(Instructions for Exercise of Warrant)</w:t>
      </w:r>
    </w:p>
    <w:p>
      <w:pPr>
        <w:spacing w:after="0" w:line="121"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left="440"/>
        <w:spacing w:after="0"/>
        <w:tabs>
          <w:tab w:leader="none" w:pos="5100" w:val="left"/>
          <w:tab w:leader="none" w:pos="1024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8"/>
          <w:szCs w:val="18"/>
          <w:color w:val="auto"/>
        </w:rPr>
        <w:t>Warrants, evidenced by this Warrant Certificate, to purchase</w:t>
      </w:r>
      <w:r>
        <w:rPr>
          <w:sz w:val="20"/>
          <w:szCs w:val="20"/>
          <w:color w:val="auto"/>
        </w:rPr>
        <w:tab/>
      </w:r>
      <w:r>
        <w:rPr>
          <w:rFonts w:ascii="Arial" w:cs="Arial" w:eastAsia="Arial" w:hAnsi="Arial"/>
          <w:sz w:val="15"/>
          <w:szCs w:val="15"/>
          <w:color w:val="auto"/>
        </w:rPr>
        <w:t>shares of</w:t>
      </w:r>
    </w:p>
    <w:p>
      <w:pPr>
        <w:spacing w:after="0" w:line="23"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[Title of Warrant Securities], par value $0.001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Zoom Video Communications,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Zoom Video</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Communications,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90"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1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30"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Please Print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4517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 of Holder)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14605</wp:posOffset>
            </wp:positionV>
            <wp:extent cx="23056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mail at: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0480"/>
          </w:cols>
          <w:pgMar w:left="440" w:top="274" w:right="979"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ASSIGNMENT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assignment to be executed if Warrant Holder desires to transfer Warrant]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ind w:left="4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ECEIVED</w:t>
            </w:r>
            <w:r>
              <w:rPr>
                <w:rFonts w:ascii="Arial" w:cs="Arial" w:eastAsia="Arial" w:hAnsi="Arial"/>
                <w:sz w:val="18"/>
                <w:szCs w:val="18"/>
                <w:b w:val="1"/>
                <w:bCs w:val="1"/>
                <w:color w:val="auto"/>
              </w:rPr>
              <w:t>,</w:t>
            </w: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hereby sells, assigns and transfers unto:</w:t>
            </w:r>
          </w:p>
        </w:tc>
      </w:tr>
      <w:tr>
        <w:trPr>
          <w:trHeight w:val="459"/>
        </w:trPr>
        <w:tc>
          <w:tcPr>
            <w:tcW w:w="3860" w:type="dxa"/>
            <w:vAlign w:val="bottom"/>
            <w:tcBorders>
              <w:bottom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r>
        <w:trPr>
          <w:trHeight w:val="224"/>
        </w:trPr>
        <w:tc>
          <w:tcPr>
            <w:tcW w:w="3860" w:type="dxa"/>
            <w:vAlign w:val="bottom"/>
          </w:tcPr>
          <w:p>
            <w:pPr>
              <w:spacing w:after="0"/>
              <w:rPr>
                <w:sz w:val="20"/>
                <w:szCs w:val="20"/>
                <w:color w:val="auto"/>
              </w:rPr>
            </w:pPr>
            <w:r>
              <w:rPr>
                <w:rFonts w:ascii="Arial" w:cs="Arial" w:eastAsia="Arial" w:hAnsi="Arial"/>
                <w:sz w:val="18"/>
                <w:szCs w:val="18"/>
                <w:color w:val="auto"/>
                <w:w w:val="93"/>
              </w:rPr>
              <w:t>(Please print name and address including zip code)</w:t>
            </w:r>
          </w:p>
        </w:tc>
        <w:tc>
          <w:tcPr>
            <w:tcW w:w="30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2"/>
              </w:rPr>
              <w:t>Please print Social Security or other identifying number</w:t>
            </w:r>
          </w:p>
        </w:tc>
      </w:tr>
    </w:tbl>
    <w:p>
      <w:pPr>
        <w:spacing w:after="0" w:line="200" w:lineRule="exact"/>
        <w:rPr>
          <w:sz w:val="20"/>
          <w:szCs w:val="20"/>
          <w:color w:val="auto"/>
        </w:rPr>
      </w:pPr>
    </w:p>
    <w:p>
      <w:pPr>
        <w:sectPr>
          <w:pgSz w:w="11900" w:h="16838" w:orient="portrait"/>
          <w:cols w:equalWidth="0" w:num="1">
            <w:col w:w="11020"/>
          </w:cols>
          <w:pgMar w:left="440" w:top="270" w:right="439" w:bottom="1440" w:gutter="0" w:footer="0" w:header="0"/>
        </w:sectPr>
      </w:pP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right represented by the within Warrant to purchase which the within Warrant relates and appoints substitution in the premises.</w:t>
      </w:r>
    </w:p>
    <w:p>
      <w:pPr>
        <w:spacing w:after="0" w:line="20" w:lineRule="exact"/>
        <w:rPr>
          <w:sz w:val="20"/>
          <w:szCs w:val="20"/>
          <w:color w:val="auto"/>
        </w:rPr>
      </w:pPr>
      <w:r>
        <w:rPr>
          <w:sz w:val="20"/>
          <w:szCs w:val="20"/>
          <w:color w:val="auto"/>
        </w:rPr>
        <w:br w:type="column"/>
      </w:r>
    </w:p>
    <w:p>
      <w:pPr>
        <w:ind w:right="400" w:firstLine="659"/>
        <w:spacing w:after="0" w:line="342" w:lineRule="auto"/>
        <w:rPr>
          <w:sz w:val="20"/>
          <w:szCs w:val="20"/>
          <w:color w:val="auto"/>
        </w:rPr>
      </w:pPr>
      <w:r>
        <w:rPr>
          <w:rFonts w:ascii="Arial" w:cs="Arial" w:eastAsia="Arial" w:hAnsi="Arial"/>
          <w:sz w:val="16"/>
          <w:szCs w:val="16"/>
          <w:color w:val="auto"/>
        </w:rPr>
        <w:t>shares of [Title of Warrant Securities] of Zoom Video Communications, Inc. to attorney to transfer such right on the books of the Warrant Agent with full power of</w:t>
      </w:r>
    </w:p>
    <w:p>
      <w:pPr>
        <w:spacing w:after="0" w:line="356" w:lineRule="exact"/>
        <w:rPr>
          <w:sz w:val="20"/>
          <w:szCs w:val="20"/>
          <w:color w:val="auto"/>
        </w:rPr>
      </w:pPr>
    </w:p>
    <w:p>
      <w:pPr>
        <w:sectPr>
          <w:pgSz w:w="11900" w:h="16838" w:orient="portrait"/>
          <w:cols w:equalWidth="0" w:num="2">
            <w:col w:w="3960" w:space="320"/>
            <w:col w:w="6740"/>
          </w:cols>
          <w:pgMar w:left="440" w:top="270" w:right="439" w:bottom="1440" w:gutter="0" w:footer="0" w:header="0"/>
          <w:type w:val="continuous"/>
        </w:sectPr>
      </w:pPr>
    </w:p>
    <w:p>
      <w:pPr>
        <w:spacing w:after="0" w:line="1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65747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spacing w:after="0" w:line="30"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19627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4.9</w:t>
      </w:r>
    </w:p>
    <w:p>
      <w:pPr>
        <w:spacing w:after="0" w:line="200" w:lineRule="exact"/>
        <w:rPr>
          <w:sz w:val="20"/>
          <w:szCs w:val="20"/>
          <w:color w:val="auto"/>
        </w:rPr>
      </w:pPr>
    </w:p>
    <w:p>
      <w:pPr>
        <w:spacing w:after="0" w:line="24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340"/>
        <w:spacing w:after="0"/>
        <w:rPr>
          <w:sz w:val="20"/>
          <w:szCs w:val="20"/>
          <w:color w:val="auto"/>
        </w:rPr>
      </w:pPr>
      <w:r>
        <w:rPr>
          <w:rFonts w:ascii="Arial" w:cs="Arial" w:eastAsia="Arial" w:hAnsi="Arial"/>
          <w:sz w:val="15"/>
          <w:szCs w:val="15"/>
          <w:b w:val="1"/>
          <w:bCs w:val="1"/>
          <w:color w:val="auto"/>
        </w:rPr>
        <w:t>AND</w:t>
      </w:r>
    </w:p>
    <w:p>
      <w:pPr>
        <w:spacing w:after="0" w:line="202" w:lineRule="exact"/>
        <w:rPr>
          <w:sz w:val="20"/>
          <w:szCs w:val="20"/>
          <w:color w:val="auto"/>
        </w:rPr>
      </w:pPr>
    </w:p>
    <w:p>
      <w:pPr>
        <w:ind w:left="4160" w:hanging="91"/>
        <w:spacing w:after="0"/>
        <w:tabs>
          <w:tab w:leader="none" w:pos="41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p>
    <w:p>
      <w:pPr>
        <w:sectPr>
          <w:pgSz w:w="11900" w:h="16838" w:orient="portrait"/>
          <w:cols w:equalWidth="0" w:num="1">
            <w:col w:w="10020"/>
          </w:cols>
          <w:pgMar w:left="1440" w:top="121" w:right="4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between</w:t>
      </w:r>
      <w:r>
        <w:rPr>
          <w:rFonts w:ascii="Arial" w:cs="Arial" w:eastAsia="Arial" w:hAnsi="Arial"/>
          <w:sz w:val="18"/>
          <w:szCs w:val="18"/>
          <w:b w:val="1"/>
          <w:bCs w:val="1"/>
          <w:color w:val="auto"/>
        </w:rPr>
        <w:t xml:space="preserve"> Z</w:t>
      </w:r>
      <w:r>
        <w:rPr>
          <w:rFonts w:ascii="Arial" w:cs="Arial" w:eastAsia="Arial" w:hAnsi="Arial"/>
          <w:sz w:val="14"/>
          <w:szCs w:val="14"/>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 a [corporation] [national banking association] organized and existing under the laws of [●] and having a corporate trust office in [●],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76"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entered into an indenture dated as of [●]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with [●], as trustee (such trustee, and any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trustee, herein called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providing for the issuance from time to time of its debt securities, to be issued in one or more series as provided in the Indenture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w:t>
      </w:r>
    </w:p>
    <w:p>
      <w:pPr>
        <w:spacing w:after="0" w:line="176"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proposes to sell [</w:t>
      </w:r>
      <w:r>
        <w:rPr>
          <w:rFonts w:ascii="Arial" w:cs="Arial" w:eastAsia="Arial" w:hAnsi="Arial"/>
          <w:sz w:val="17"/>
          <w:szCs w:val="17"/>
          <w:b w:val="1"/>
          <w:bCs w:val="1"/>
          <w:i w:val="1"/>
          <w:iCs w:val="1"/>
          <w:color w:val="auto"/>
        </w:rPr>
        <w:t>If Warrants are sold with other securities</w:t>
      </w:r>
      <w:r>
        <w:rPr>
          <w:rFonts w:ascii="Arial" w:cs="Arial" w:eastAsia="Arial" w:hAnsi="Arial"/>
          <w:sz w:val="17"/>
          <w:szCs w:val="17"/>
          <w:i w:val="1"/>
          <w:iCs w:val="1"/>
          <w:color w:val="auto"/>
        </w:rPr>
        <w:t>—</w:t>
      </w:r>
      <w:r>
        <w:rPr>
          <w:rFonts w:ascii="Arial" w:cs="Arial" w:eastAsia="Arial" w:hAnsi="Arial"/>
          <w:sz w:val="17"/>
          <w:szCs w:val="17"/>
          <w:color w:val="auto"/>
        </w:rPr>
        <w:t>title of such other securities being offered] (the “</w:t>
      </w:r>
      <w:r>
        <w:rPr>
          <w:rFonts w:ascii="Arial" w:cs="Arial" w:eastAsia="Arial" w:hAnsi="Arial"/>
          <w:sz w:val="17"/>
          <w:szCs w:val="17"/>
          <w:b w:val="1"/>
          <w:bCs w:val="1"/>
          <w:i w:val="1"/>
          <w:iCs w:val="1"/>
          <w:color w:val="auto"/>
        </w:rPr>
        <w:t>Other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with] warrant certificates evidencing one or more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or, individually,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representing the right to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[title of Debt Securities purchasable through exercise of Warrants] (the “</w:t>
      </w:r>
      <w:r>
        <w:rPr>
          <w:rFonts w:ascii="Arial" w:cs="Arial" w:eastAsia="Arial" w:hAnsi="Arial"/>
          <w:sz w:val="17"/>
          <w:szCs w:val="17"/>
          <w:b w:val="1"/>
          <w:bCs w:val="1"/>
          <w:i w:val="1"/>
          <w:iCs w:val="1"/>
          <w:color w:val="auto"/>
        </w:rPr>
        <w:t>Warrant Debt Securities</w:t>
      </w:r>
      <w:r>
        <w:rPr>
          <w:rFonts w:ascii="Arial" w:cs="Arial" w:eastAsia="Arial" w:hAnsi="Arial"/>
          <w:sz w:val="17"/>
          <w:szCs w:val="17"/>
          <w:color w:val="auto"/>
        </w:rPr>
        <w:t>”), such warrant certificates and other warrant certificates issued pursuant to this Agreement being herein called the “</w:t>
      </w:r>
      <w:r>
        <w:rPr>
          <w:rFonts w:ascii="Arial" w:cs="Arial" w:eastAsia="Arial" w:hAnsi="Arial"/>
          <w:sz w:val="17"/>
          <w:szCs w:val="17"/>
          <w:b w:val="1"/>
          <w:bCs w:val="1"/>
          <w:i w:val="1"/>
          <w:iCs w:val="1"/>
          <w:color w:val="auto"/>
        </w:rPr>
        <w:t>Warrant Certificates</w:t>
      </w:r>
      <w:r>
        <w:rPr>
          <w:rFonts w:ascii="Arial" w:cs="Arial" w:eastAsia="Arial" w:hAnsi="Arial"/>
          <w:sz w:val="17"/>
          <w:szCs w:val="17"/>
          <w:color w:val="auto"/>
        </w:rPr>
        <w:t>”; and</w:t>
      </w:r>
    </w:p>
    <w:p>
      <w:pPr>
        <w:spacing w:after="0" w:line="165"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desires the Warrant Agent to act on behalf of the Company, and the Warrant Agent is willing so to act,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xml:space="preserve"> T</w:t>
      </w:r>
      <w:r>
        <w:rPr>
          <w:rFonts w:ascii="Arial" w:cs="Arial" w:eastAsia="Arial" w:hAnsi="Arial"/>
          <w:sz w:val="13"/>
          <w:szCs w:val="13"/>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premises and of the mutual agreements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ISSUANCE OF WARRANTS AND EXECUTION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WARRANT CERTIFICATES</w:t>
      </w:r>
    </w:p>
    <w:p>
      <w:pPr>
        <w:spacing w:after="0" w:line="207"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Securities and Warrants</w:t>
      </w:r>
      <w:r>
        <w:rPr>
          <w:rFonts w:ascii="Arial" w:cs="Arial" w:eastAsia="Arial" w:hAnsi="Arial"/>
          <w:sz w:val="16"/>
          <w:szCs w:val="16"/>
          <w:color w:val="auto"/>
        </w:rPr>
        <w:t>—Warrant Certificates will be issued in connection with the issuance of the Other Securities but shall be separately transferable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each Warrant Certificate shall evidence one or more Warrants.] Each Warrant evidenced thereby shall represent the right, subject to the provisions contained herein and therein, to purchase one Warrant Debt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—Warrant Certificates will be issued with the Other Securities and each Warrant Certificate will evidence [●] Warrants for each [$[●] principal amount] [[●] shares] of Other Securities issued.]</w:t>
      </w:r>
    </w:p>
    <w:p>
      <w:pPr>
        <w:spacing w:after="0" w:line="154"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 xml:space="preserve">1.2 Execution and Delivery of Warrant Certificates. </w:t>
      </w:r>
      <w:r>
        <w:rPr>
          <w:rFonts w:ascii="Arial" w:cs="Arial" w:eastAsia="Arial" w:hAnsi="Arial"/>
          <w:sz w:val="16"/>
          <w:szCs w:val="16"/>
          <w:color w:val="auto"/>
        </w:rPr>
        <w:t>Each Warrant Certificate, whenever issued, shall be in registered form substantially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form set forth in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138" w:name="page139"/>
    <w:bookmarkEnd w:id="13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87" w:lineRule="exact"/>
        <w:rPr>
          <w:sz w:val="20"/>
          <w:szCs w:val="20"/>
          <w:color w:val="auto"/>
        </w:rPr>
      </w:pPr>
    </w:p>
    <w:p>
      <w:pPr>
        <w:jc w:val="both"/>
        <w:ind w:right="200" w:firstLine="440"/>
        <w:spacing w:after="0" w:line="311" w:lineRule="auto"/>
        <w:rPr>
          <w:sz w:val="20"/>
          <w:szCs w:val="20"/>
          <w:color w:val="auto"/>
        </w:rPr>
      </w:pPr>
      <w:r>
        <w:rPr>
          <w:rFonts w:ascii="Arial" w:cs="Arial" w:eastAsia="Arial" w:hAnsi="Arial"/>
          <w:sz w:val="16"/>
          <w:szCs w:val="16"/>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4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holder of a Warrant Certificate</w:t>
      </w:r>
      <w:r>
        <w:rPr>
          <w:rFonts w:ascii="Arial" w:cs="Arial" w:eastAsia="Arial" w:hAnsi="Arial"/>
          <w:sz w:val="18"/>
          <w:szCs w:val="18"/>
          <w:color w:val="auto"/>
        </w:rPr>
        <w:t>” as used herein shall mean any person in whose name at the time any Warrant Certificate shall be registered upon the books to be maintained by the Warrant Agent for that purpose.</w:t>
      </w:r>
    </w:p>
    <w:p>
      <w:pPr>
        <w:spacing w:after="0" w:line="166"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b w:val="1"/>
          <w:bCs w:val="1"/>
          <w:color w:val="auto"/>
        </w:rPr>
        <w:t xml:space="preserve">1.3 Issuance of Warrant Certificates. </w:t>
      </w:r>
      <w:r>
        <w:rPr>
          <w:rFonts w:ascii="Arial" w:cs="Arial" w:eastAsia="Arial" w:hAnsi="Arial"/>
          <w:sz w:val="18"/>
          <w:szCs w:val="18"/>
          <w:color w:val="auto"/>
        </w:rPr>
        <w:t>Warrant Certificates evidencing the right to purchase Warrant Debt Securities may be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PRICE, DURATION AND EXERCISE OF WARRANTS</w:t>
      </w:r>
    </w:p>
    <w:p>
      <w:pPr>
        <w:spacing w:after="0" w:line="225"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2.1 Warrant Price. </w:t>
      </w:r>
      <w:r>
        <w:rPr>
          <w:rFonts w:ascii="Arial" w:cs="Arial" w:eastAsia="Arial" w:hAnsi="Arial"/>
          <w:sz w:val="16"/>
          <w:szCs w:val="16"/>
          <w:color w:val="auto"/>
        </w:rPr>
        <w:t>During the period specified in Section 2.2, each Warrant shall, subject to the terms of this Agreement and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Arial" w:cs="Arial" w:eastAsia="Arial" w:hAnsi="Arial"/>
          <w:sz w:val="16"/>
          <w:szCs w:val="16"/>
          <w:b w:val="1"/>
          <w:bCs w:val="1"/>
          <w:i w:val="1"/>
          <w:iCs w:val="1"/>
          <w:color w:val="auto"/>
        </w:rPr>
        <w:t>Warrant Price</w:t>
      </w:r>
      <w:r>
        <w:rPr>
          <w:rFonts w:ascii="Arial" w:cs="Arial" w:eastAsia="Arial" w:hAnsi="Arial"/>
          <w:sz w:val="16"/>
          <w:szCs w:val="16"/>
          <w:i w:val="1"/>
          <w:iCs w:val="1"/>
          <w:color w:val="auto"/>
        </w:rPr>
        <w:t>.”</w:t>
      </w:r>
    </w:p>
    <w:p>
      <w:pPr>
        <w:spacing w:after="0" w:line="161"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2.2 Duration of Warrants. </w:t>
      </w:r>
      <w:r>
        <w:rPr>
          <w:rFonts w:ascii="Arial" w:cs="Arial" w:eastAsia="Arial" w:hAnsi="Arial"/>
          <w:sz w:val="18"/>
          <w:szCs w:val="18"/>
          <w:color w:val="auto"/>
        </w:rPr>
        <w:t>Each Warrant may be exercised in whole or in part at any time, as specified herein, on or after [the date thereof] [●]</w:t>
      </w:r>
      <w:r>
        <w:rPr>
          <w:rFonts w:ascii="Arial" w:cs="Arial" w:eastAsia="Arial" w:hAnsi="Arial"/>
          <w:sz w:val="18"/>
          <w:szCs w:val="18"/>
          <w:b w:val="1"/>
          <w:bCs w:val="1"/>
          <w:color w:val="auto"/>
        </w:rPr>
        <w:t xml:space="preserve"> </w:t>
      </w:r>
      <w:r>
        <w:rPr>
          <w:rFonts w:ascii="Arial" w:cs="Arial" w:eastAsia="Arial" w:hAnsi="Arial"/>
          <w:sz w:val="18"/>
          <w:szCs w:val="18"/>
          <w:color w:val="auto"/>
        </w:rPr>
        <w:t>and at or before [●] 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39" w:name="page140"/>
    <w:bookmarkEnd w:id="139"/>
    <w:p>
      <w:pPr>
        <w:ind w:left="440"/>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color w:val="auto"/>
        </w:rPr>
        <w:t>Exercise of Warrants.</w:t>
      </w:r>
    </w:p>
    <w:p>
      <w:pPr>
        <w:spacing w:after="0" w:line="229" w:lineRule="exact"/>
        <w:rPr>
          <w:sz w:val="20"/>
          <w:szCs w:val="20"/>
          <w:color w:val="auto"/>
        </w:rPr>
      </w:pPr>
    </w:p>
    <w:p>
      <w:pPr>
        <w:ind w:right="20" w:firstLine="987"/>
        <w:spacing w:after="0" w:line="285" w:lineRule="auto"/>
        <w:tabs>
          <w:tab w:leader="none" w:pos="1381"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71" w:lineRule="exact"/>
        <w:rPr>
          <w:rFonts w:ascii="Arial" w:cs="Arial" w:eastAsia="Arial" w:hAnsi="Arial"/>
          <w:sz w:val="16"/>
          <w:szCs w:val="16"/>
          <w:b w:val="1"/>
          <w:bCs w:val="1"/>
          <w:color w:val="auto"/>
        </w:rPr>
      </w:pPr>
    </w:p>
    <w:p>
      <w:pPr>
        <w:ind w:right="60" w:firstLine="987"/>
        <w:spacing w:after="0" w:line="257" w:lineRule="auto"/>
        <w:tabs>
          <w:tab w:leader="none" w:pos="1388"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87" w:lineRule="exact"/>
        <w:rPr>
          <w:rFonts w:ascii="Arial" w:cs="Arial" w:eastAsia="Arial" w:hAnsi="Arial"/>
          <w:sz w:val="18"/>
          <w:szCs w:val="18"/>
          <w:b w:val="1"/>
          <w:bCs w:val="1"/>
          <w:color w:val="auto"/>
        </w:rPr>
      </w:pPr>
    </w:p>
    <w:p>
      <w:pPr>
        <w:ind w:firstLine="987"/>
        <w:spacing w:after="0" w:line="275" w:lineRule="auto"/>
        <w:tabs>
          <w:tab w:leader="none" w:pos="1361" w:val="left"/>
        </w:tabs>
        <w:numPr>
          <w:ilvl w:val="0"/>
          <w:numId w:val="113"/>
        </w:numPr>
        <w:rPr>
          <w:rFonts w:ascii="Arial" w:cs="Arial" w:eastAsia="Arial" w:hAnsi="Arial"/>
          <w:sz w:val="17"/>
          <w:szCs w:val="17"/>
          <w:b w:val="1"/>
          <w:bCs w:val="1"/>
          <w:color w:val="auto"/>
        </w:rPr>
      </w:pPr>
      <w:r>
        <w:rPr>
          <w:rFonts w:ascii="Arial" w:cs="Arial" w:eastAsia="Arial" w:hAnsi="Arial"/>
          <w:sz w:val="17"/>
          <w:szCs w:val="17"/>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76" w:lineRule="exact"/>
        <w:rPr>
          <w:rFonts w:ascii="Arial" w:cs="Arial" w:eastAsia="Arial" w:hAnsi="Arial"/>
          <w:sz w:val="17"/>
          <w:szCs w:val="17"/>
          <w:b w:val="1"/>
          <w:bCs w:val="1"/>
          <w:color w:val="auto"/>
        </w:rPr>
      </w:pPr>
    </w:p>
    <w:p>
      <w:pPr>
        <w:ind w:right="180" w:firstLine="987"/>
        <w:spacing w:after="0" w:line="259" w:lineRule="auto"/>
        <w:tabs>
          <w:tab w:leader="none" w:pos="1388"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40" w:name="page141"/>
    <w:bookmarkEnd w:id="140"/>
    <w:p>
      <w:pPr>
        <w:ind w:right="120" w:firstLine="987"/>
        <w:spacing w:after="0" w:line="342" w:lineRule="auto"/>
        <w:tabs>
          <w:tab w:leader="none" w:pos="1371" w:val="left"/>
        </w:tabs>
        <w:numPr>
          <w:ilvl w:val="0"/>
          <w:numId w:val="11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 RELATING TO RIGHTS OF HOLDERS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CERTIFICATES</w:t>
      </w:r>
    </w:p>
    <w:p>
      <w:pPr>
        <w:spacing w:after="0" w:line="207"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 xml:space="preserve">3.1 No Rights as Holder of Warrant Debt Securities Conferred by Warrants or Warrant Certificates. </w:t>
      </w:r>
      <w:r>
        <w:rPr>
          <w:rFonts w:ascii="Arial" w:cs="Arial" w:eastAsia="Arial" w:hAnsi="Arial"/>
          <w:sz w:val="18"/>
          <w:szCs w:val="18"/>
          <w:color w:val="auto"/>
        </w:rPr>
        <w:t>No Warrant Certificate or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8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3.2 Lost, Stolen, Mutilated or Destroyed Warrant Certificates. </w:t>
      </w:r>
      <w:r>
        <w:rPr>
          <w:rFonts w:ascii="Arial" w:cs="Arial" w:eastAsia="Arial" w:hAnsi="Arial"/>
          <w:sz w:val="17"/>
          <w:szCs w:val="17"/>
          <w:color w:val="auto"/>
        </w:rPr>
        <w:t>Upon receipt by the Warrant Agent of evidence reasonably satisfactory to it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7"/>
          <w:szCs w:val="17"/>
          <w:b w:val="1"/>
          <w:bCs w:val="1"/>
          <w:color w:val="auto"/>
        </w:rPr>
        <w:t xml:space="preserve">3.3 Holder of Warrant Certificate May Enforce Rights. </w:t>
      </w:r>
      <w:r>
        <w:rPr>
          <w:rFonts w:ascii="Arial" w:cs="Arial" w:eastAsia="Arial" w:hAnsi="Arial"/>
          <w:sz w:val="17"/>
          <w:szCs w:val="17"/>
          <w:color w:val="auto"/>
        </w:rPr>
        <w:t>Notwithstanding any of the provisions of this Agreement, any holder of a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without the consent of the Warrant Agent,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68"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 xml:space="preserve">3.4 Merger, Sale, Conveyance or Lease. </w:t>
      </w:r>
      <w:r>
        <w:rPr>
          <w:rFonts w:ascii="Arial" w:cs="Arial" w:eastAsia="Arial" w:hAnsi="Arial"/>
          <w:sz w:val="18"/>
          <w:szCs w:val="18"/>
          <w:color w:val="auto"/>
        </w:rPr>
        <w:t>In case of (a) any share exchange, merger or similar transaction of the Company with or into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Arial" w:cs="Arial" w:eastAsia="Arial" w:hAnsi="Arial"/>
          <w:sz w:val="18"/>
          <w:szCs w:val="18"/>
          <w:b w:val="1"/>
          <w:bCs w:val="1"/>
          <w:i w:val="1"/>
          <w:iCs w:val="1"/>
          <w:color w:val="auto"/>
        </w:rPr>
        <w:t>Reorganization Event</w:t>
      </w:r>
      <w:r>
        <w:rPr>
          <w:rFonts w:ascii="Arial" w:cs="Arial" w:eastAsia="Arial" w:hAnsi="Arial"/>
          <w:sz w:val="18"/>
          <w:szCs w:val="18"/>
          <w:color w:val="auto"/>
        </w:rPr>
        <w:t>”), then, as a condition of such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41" w:name="page142"/>
    <w:bookmarkEnd w:id="14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68"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 xml:space="preserve">3.5 Notice to Warrantholders. </w:t>
      </w:r>
      <w:r>
        <w:rPr>
          <w:rFonts w:ascii="Arial" w:cs="Arial" w:eastAsia="Arial" w:hAnsi="Arial"/>
          <w:sz w:val="17"/>
          <w:szCs w:val="17"/>
          <w:color w:val="auto"/>
        </w:rPr>
        <w:t>In case the Company shall (a) effect any Reorganization Event or (b) make any distribution on or in respect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AND TRANSFER OF WARRANT CERTIFICATES</w:t>
      </w:r>
    </w:p>
    <w:p>
      <w:pPr>
        <w:spacing w:after="0" w:line="22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Exchange and Transfer of Warrant Certificates. Upon surrender at the corporate trust office of the Warrant Agent, Warrant Certificates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2" w:name="page143"/>
    <w:bookmarkEnd w:id="142"/>
    <w:p>
      <w:pPr>
        <w:jc w:val="both"/>
        <w:ind w:righ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80"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 xml:space="preserve">4.2 Treatment of Holders of Warrant Certificates. </w:t>
      </w:r>
      <w:r>
        <w:rPr>
          <w:rFonts w:ascii="Arial" w:cs="Arial" w:eastAsia="Arial" w:hAnsi="Arial"/>
          <w:sz w:val="18"/>
          <w:szCs w:val="18"/>
          <w:color w:val="auto"/>
        </w:rPr>
        <w:t>The Company, the Warrant Agent and all other persons may treat the registered holder of a</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 as the absolute owner thereof for any purpose and as the person entitled to exercise the rights represented by the Warrants evidenced thereby, any notice to the contrary notwithstanding.</w:t>
      </w:r>
    </w:p>
    <w:p>
      <w:pPr>
        <w:spacing w:after="0" w:line="176" w:lineRule="exact"/>
        <w:rPr>
          <w:sz w:val="20"/>
          <w:szCs w:val="20"/>
          <w:color w:val="auto"/>
        </w:rPr>
      </w:pPr>
    </w:p>
    <w:p>
      <w:pPr>
        <w:ind w:right="240" w:firstLine="440"/>
        <w:spacing w:after="0" w:line="277" w:lineRule="auto"/>
        <w:rPr>
          <w:sz w:val="20"/>
          <w:szCs w:val="20"/>
          <w:color w:val="auto"/>
        </w:rPr>
      </w:pPr>
      <w:r>
        <w:rPr>
          <w:rFonts w:ascii="Arial" w:cs="Arial" w:eastAsia="Arial" w:hAnsi="Arial"/>
          <w:sz w:val="17"/>
          <w:szCs w:val="17"/>
          <w:b w:val="1"/>
          <w:bCs w:val="1"/>
          <w:color w:val="auto"/>
        </w:rPr>
        <w:t xml:space="preserve">4.3 Cancellation of Warrant Certificates. </w:t>
      </w:r>
      <w:r>
        <w:rPr>
          <w:rFonts w:ascii="Arial" w:cs="Arial" w:eastAsia="Arial" w:hAnsi="Arial"/>
          <w:sz w:val="17"/>
          <w:szCs w:val="17"/>
          <w:color w:val="auto"/>
        </w:rPr>
        <w:t>Any Warrant Certificate surrendered for exchange, registration of transfer or exercise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CONCERNING THE WARRANT AGENT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7"/>
          <w:szCs w:val="17"/>
          <w:b w:val="1"/>
          <w:bCs w:val="1"/>
          <w:color w:val="auto"/>
        </w:rPr>
        <w:t xml:space="preserve">5.1 Warrant Agent. </w:t>
      </w:r>
      <w:r>
        <w:rPr>
          <w:rFonts w:ascii="Arial" w:cs="Arial" w:eastAsia="Arial" w:hAnsi="Arial"/>
          <w:sz w:val="17"/>
          <w:szCs w:val="17"/>
          <w:color w:val="auto"/>
        </w:rPr>
        <w:t>The Company hereby appoints [●] as Warrant Agent of the Company in respect of the Warrants and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68"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b w:val="1"/>
          <w:bCs w:val="1"/>
          <w:color w:val="auto"/>
        </w:rPr>
        <w:t xml:space="preserve">5.2 Conditions of Warrant Agent’s Obligations. </w:t>
      </w:r>
      <w:r>
        <w:rPr>
          <w:rFonts w:ascii="Arial" w:cs="Arial" w:eastAsia="Arial" w:hAnsi="Arial"/>
          <w:sz w:val="18"/>
          <w:szCs w:val="18"/>
          <w:color w:val="auto"/>
        </w:rPr>
        <w:t>The Warrant Agent accepts its obligations herein set forth upon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including the following to all of which the Company agrees and to all of which the rights hereunder of the holders from time to time of the Warrant Certificates shall be subject:</w:t>
      </w:r>
    </w:p>
    <w:p>
      <w:pPr>
        <w:spacing w:after="0" w:line="68" w:lineRule="exact"/>
        <w:rPr>
          <w:sz w:val="20"/>
          <w:szCs w:val="20"/>
          <w:color w:val="auto"/>
        </w:rPr>
      </w:pPr>
    </w:p>
    <w:p>
      <w:pPr>
        <w:ind w:right="40" w:firstLine="987"/>
        <w:spacing w:after="0" w:line="294" w:lineRule="auto"/>
        <w:tabs>
          <w:tab w:leader="none" w:pos="1381"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59" w:lineRule="exact"/>
        <w:rPr>
          <w:rFonts w:ascii="Arial" w:cs="Arial" w:eastAsia="Arial" w:hAnsi="Arial"/>
          <w:sz w:val="16"/>
          <w:szCs w:val="16"/>
          <w:b w:val="1"/>
          <w:bCs w:val="1"/>
          <w:color w:val="auto"/>
        </w:rPr>
      </w:pPr>
    </w:p>
    <w:p>
      <w:pPr>
        <w:ind w:right="180" w:firstLine="987"/>
        <w:spacing w:after="0" w:line="266" w:lineRule="auto"/>
        <w:tabs>
          <w:tab w:leader="none" w:pos="1391"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Company. </w:t>
      </w:r>
      <w:r>
        <w:rPr>
          <w:rFonts w:ascii="Arial" w:cs="Arial" w:eastAsia="Arial" w:hAnsi="Arial"/>
          <w:sz w:val="18"/>
          <w:szCs w:val="18"/>
          <w:color w:val="auto"/>
        </w:rPr>
        <w:t>In acting under this Agreement and in connection with the Warrant Certificates, the Warrant Agent is</w:t>
      </w:r>
      <w:r>
        <w:rPr>
          <w:rFonts w:ascii="Arial" w:cs="Arial" w:eastAsia="Arial" w:hAnsi="Arial"/>
          <w:sz w:val="18"/>
          <w:szCs w:val="18"/>
          <w:b w:val="1"/>
          <w:bCs w:val="1"/>
          <w:color w:val="auto"/>
        </w:rPr>
        <w:t xml:space="preserve"> </w:t>
      </w:r>
      <w:r>
        <w:rPr>
          <w:rFonts w:ascii="Arial" w:cs="Arial" w:eastAsia="Arial" w:hAnsi="Arial"/>
          <w:sz w:val="18"/>
          <w:szCs w:val="18"/>
          <w:color w:val="auto"/>
        </w:rPr>
        <w:t>acting solely as agent of the Company and does not assume any obligations or relationship of agency or trust for or with any of the holders of Warrant Certificates or beneficial owners of Warrants.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43" w:name="page144"/>
    <w:bookmarkEnd w:id="143"/>
    <w:p>
      <w:pPr>
        <w:ind w:right="80" w:firstLine="987"/>
        <w:spacing w:after="0" w:line="266" w:lineRule="auto"/>
        <w:tabs>
          <w:tab w:leader="none" w:pos="1371"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Counsel. </w:t>
      </w:r>
      <w:r>
        <w:rPr>
          <w:rFonts w:ascii="Arial" w:cs="Arial" w:eastAsia="Arial" w:hAnsi="Arial"/>
          <w:sz w:val="18"/>
          <w:szCs w:val="18"/>
          <w:color w:val="auto"/>
        </w:rPr>
        <w:t>The Warrant Agent may consult with counsel satisfactory to it, which may include counsel for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advice of such counsel shall be full and complete authorization and protection in respect of any action taken, suffered or omitted by it hereunder in good faith and in accordance with the advice of such counsel.</w:t>
      </w:r>
    </w:p>
    <w:p>
      <w:pPr>
        <w:spacing w:after="0" w:line="175" w:lineRule="exact"/>
        <w:rPr>
          <w:rFonts w:ascii="Arial" w:cs="Arial" w:eastAsia="Arial" w:hAnsi="Arial"/>
          <w:sz w:val="18"/>
          <w:szCs w:val="18"/>
          <w:b w:val="1"/>
          <w:bCs w:val="1"/>
          <w:color w:val="auto"/>
        </w:rPr>
      </w:pPr>
    </w:p>
    <w:p>
      <w:pPr>
        <w:jc w:val="both"/>
        <w:ind w:right="80" w:firstLine="987"/>
        <w:spacing w:after="0" w:line="266" w:lineRule="auto"/>
        <w:tabs>
          <w:tab w:leader="none" w:pos="1391"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The Warrant Agent shall be protected and shall incur no liability for or in respect of any action taken or omitted by it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any Warrant Certificate, notice, direction, consent, certificate, affidavit, statement or other paper or document reasonably believed by it to be genuine and to have been presented or signed by the proper parties.</w:t>
      </w:r>
    </w:p>
    <w:p>
      <w:pPr>
        <w:spacing w:after="0" w:line="175" w:lineRule="exact"/>
        <w:rPr>
          <w:rFonts w:ascii="Arial" w:cs="Arial" w:eastAsia="Arial" w:hAnsi="Arial"/>
          <w:sz w:val="18"/>
          <w:szCs w:val="18"/>
          <w:b w:val="1"/>
          <w:bCs w:val="1"/>
          <w:color w:val="auto"/>
        </w:rPr>
      </w:pPr>
    </w:p>
    <w:p>
      <w:pPr>
        <w:ind w:right="20" w:firstLine="987"/>
        <w:spacing w:after="0" w:line="274" w:lineRule="auto"/>
        <w:tabs>
          <w:tab w:leader="none" w:pos="1371"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Transactions. </w:t>
      </w:r>
      <w:r>
        <w:rPr>
          <w:rFonts w:ascii="Arial" w:cs="Arial" w:eastAsia="Arial" w:hAnsi="Arial"/>
          <w:sz w:val="17"/>
          <w:szCs w:val="17"/>
          <w:color w:val="auto"/>
        </w:rPr>
        <w:t>The Warrant Agent, and its officers, directors and employees, may become the owner of, or acquire any</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73" w:lineRule="exact"/>
        <w:rPr>
          <w:rFonts w:ascii="Arial" w:cs="Arial" w:eastAsia="Arial" w:hAnsi="Arial"/>
          <w:sz w:val="17"/>
          <w:szCs w:val="17"/>
          <w:b w:val="1"/>
          <w:bCs w:val="1"/>
          <w:color w:val="auto"/>
        </w:rPr>
      </w:pPr>
    </w:p>
    <w:p>
      <w:pPr>
        <w:ind w:right="220" w:firstLine="987"/>
        <w:spacing w:after="0" w:line="282" w:lineRule="auto"/>
        <w:tabs>
          <w:tab w:leader="none" w:pos="1351"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Interest. </w:t>
      </w:r>
      <w:r>
        <w:rPr>
          <w:rFonts w:ascii="Arial" w:cs="Arial" w:eastAsia="Arial" w:hAnsi="Arial"/>
          <w:sz w:val="18"/>
          <w:szCs w:val="18"/>
          <w:color w:val="auto"/>
        </w:rPr>
        <w:t>Unless otherwise agreed with the Company, the Warrant Agent shall have no liability for interest on any</w:t>
      </w:r>
      <w:r>
        <w:rPr>
          <w:rFonts w:ascii="Arial" w:cs="Arial" w:eastAsia="Arial" w:hAnsi="Arial"/>
          <w:sz w:val="18"/>
          <w:szCs w:val="18"/>
          <w:b w:val="1"/>
          <w:bCs w:val="1"/>
          <w:color w:val="auto"/>
        </w:rPr>
        <w:t xml:space="preserve"> </w:t>
      </w:r>
      <w:r>
        <w:rPr>
          <w:rFonts w:ascii="Arial" w:cs="Arial" w:eastAsia="Arial" w:hAnsi="Arial"/>
          <w:sz w:val="18"/>
          <w:szCs w:val="18"/>
          <w:color w:val="auto"/>
        </w:rPr>
        <w:t>monies at any time received by it pursuant to any of the provisions of this Agreement or of the Warrant Certificates.</w:t>
      </w:r>
    </w:p>
    <w:p>
      <w:pPr>
        <w:spacing w:after="0" w:line="161" w:lineRule="exact"/>
        <w:rPr>
          <w:rFonts w:ascii="Arial" w:cs="Arial" w:eastAsia="Arial" w:hAnsi="Arial"/>
          <w:sz w:val="18"/>
          <w:szCs w:val="18"/>
          <w:b w:val="1"/>
          <w:bCs w:val="1"/>
          <w:color w:val="auto"/>
        </w:rPr>
      </w:pPr>
    </w:p>
    <w:p>
      <w:pPr>
        <w:ind w:right="120" w:firstLine="987"/>
        <w:spacing w:after="0" w:line="282" w:lineRule="auto"/>
        <w:tabs>
          <w:tab w:leader="none" w:pos="1381"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Liability for Invalidity. </w:t>
      </w:r>
      <w:r>
        <w:rPr>
          <w:rFonts w:ascii="Arial" w:cs="Arial" w:eastAsia="Arial" w:hAnsi="Arial"/>
          <w:sz w:val="18"/>
          <w:szCs w:val="18"/>
          <w:color w:val="auto"/>
        </w:rPr>
        <w:t>The Warrant Agent shall have no liability with respect to any invalidity of this Agreement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Certificates (except as to the Warrant Agent’s countersignature thereon).</w:t>
      </w:r>
    </w:p>
    <w:p>
      <w:pPr>
        <w:spacing w:after="0" w:line="161" w:lineRule="exact"/>
        <w:rPr>
          <w:rFonts w:ascii="Arial" w:cs="Arial" w:eastAsia="Arial" w:hAnsi="Arial"/>
          <w:sz w:val="18"/>
          <w:szCs w:val="18"/>
          <w:b w:val="1"/>
          <w:bCs w:val="1"/>
          <w:color w:val="auto"/>
        </w:rPr>
      </w:pPr>
    </w:p>
    <w:p>
      <w:pPr>
        <w:ind w:right="80" w:firstLine="987"/>
        <w:spacing w:after="0" w:line="312" w:lineRule="auto"/>
        <w:tabs>
          <w:tab w:leader="none" w:pos="1391"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Responsibility for Representations. </w:t>
      </w:r>
      <w:r>
        <w:rPr>
          <w:rFonts w:ascii="Arial" w:cs="Arial" w:eastAsia="Arial" w:hAnsi="Arial"/>
          <w:sz w:val="17"/>
          <w:szCs w:val="17"/>
          <w:color w:val="auto"/>
        </w:rPr>
        <w:t>The Warrant Agent shall not be responsible for any of the recitals or representations herein</w:t>
      </w:r>
      <w:r>
        <w:rPr>
          <w:rFonts w:ascii="Arial" w:cs="Arial" w:eastAsia="Arial" w:hAnsi="Arial"/>
          <w:sz w:val="17"/>
          <w:szCs w:val="17"/>
          <w:b w:val="1"/>
          <w:bCs w:val="1"/>
          <w:color w:val="auto"/>
        </w:rPr>
        <w:t xml:space="preserve"> </w:t>
      </w:r>
      <w:r>
        <w:rPr>
          <w:rFonts w:ascii="Arial" w:cs="Arial" w:eastAsia="Arial" w:hAnsi="Arial"/>
          <w:sz w:val="17"/>
          <w:szCs w:val="17"/>
          <w:color w:val="auto"/>
        </w:rPr>
        <w:t>or in the Warrant Certificates (except as to the Warrant Agent’s countersignature thereon), all of which are made solely by the Company.</w:t>
      </w:r>
    </w:p>
    <w:p>
      <w:pPr>
        <w:spacing w:after="0" w:line="139" w:lineRule="exact"/>
        <w:rPr>
          <w:rFonts w:ascii="Arial" w:cs="Arial" w:eastAsia="Arial" w:hAnsi="Arial"/>
          <w:sz w:val="17"/>
          <w:szCs w:val="17"/>
          <w:b w:val="1"/>
          <w:bCs w:val="1"/>
          <w:color w:val="auto"/>
        </w:rPr>
      </w:pPr>
    </w:p>
    <w:p>
      <w:pPr>
        <w:ind w:firstLine="987"/>
        <w:spacing w:after="0" w:line="270" w:lineRule="auto"/>
        <w:tabs>
          <w:tab w:leader="none" w:pos="1341"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Implied Obligations. </w:t>
      </w:r>
      <w:r>
        <w:rPr>
          <w:rFonts w:ascii="Arial" w:cs="Arial" w:eastAsia="Arial" w:hAnsi="Arial"/>
          <w:sz w:val="17"/>
          <w:szCs w:val="17"/>
          <w:color w:val="auto"/>
        </w:rPr>
        <w:t>The Warrant Agent shall be obligated to perform only such duties as are herein and in the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77"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Resignation, Removal and Appointment of Successors.</w:t>
      </w:r>
    </w:p>
    <w:p>
      <w:pPr>
        <w:spacing w:after="0" w:line="229" w:lineRule="exact"/>
        <w:rPr>
          <w:sz w:val="20"/>
          <w:szCs w:val="20"/>
          <w:color w:val="auto"/>
        </w:rPr>
      </w:pPr>
    </w:p>
    <w:p>
      <w:pPr>
        <w:ind w:right="360" w:firstLine="987"/>
        <w:spacing w:after="0" w:line="277" w:lineRule="auto"/>
        <w:tabs>
          <w:tab w:leader="none" w:pos="1378"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44" w:name="page145"/>
    <w:bookmarkEnd w:id="144"/>
    <w:p>
      <w:pPr>
        <w:ind w:left="-40" w:firstLine="987"/>
        <w:spacing w:after="0" w:line="271" w:lineRule="auto"/>
        <w:tabs>
          <w:tab w:leader="none" w:pos="1348"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8" w:lineRule="exact"/>
        <w:rPr>
          <w:rFonts w:ascii="Arial" w:cs="Arial" w:eastAsia="Arial" w:hAnsi="Arial"/>
          <w:sz w:val="17"/>
          <w:szCs w:val="17"/>
          <w:b w:val="1"/>
          <w:bCs w:val="1"/>
          <w:color w:val="auto"/>
        </w:rPr>
      </w:pPr>
    </w:p>
    <w:p>
      <w:pPr>
        <w:ind w:left="-40" w:right="100" w:firstLine="987"/>
        <w:spacing w:after="0" w:line="268" w:lineRule="auto"/>
        <w:tabs>
          <w:tab w:leader="none" w:pos="1331" w:val="left"/>
        </w:tabs>
        <w:numPr>
          <w:ilvl w:val="0"/>
          <w:numId w:val="118"/>
        </w:numPr>
        <w:rPr>
          <w:rFonts w:ascii="Arial" w:cs="Arial" w:eastAsia="Arial" w:hAnsi="Arial"/>
          <w:sz w:val="17"/>
          <w:szCs w:val="17"/>
          <w:b w:val="1"/>
          <w:bCs w:val="1"/>
          <w:color w:val="auto"/>
        </w:rPr>
      </w:pPr>
      <w:r>
        <w:rPr>
          <w:rFonts w:ascii="Arial" w:cs="Arial" w:eastAsia="Arial" w:hAnsi="Arial"/>
          <w:sz w:val="17"/>
          <w:szCs w:val="17"/>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6" w:lineRule="exact"/>
        <w:rPr>
          <w:rFonts w:ascii="Arial" w:cs="Arial" w:eastAsia="Arial" w:hAnsi="Arial"/>
          <w:sz w:val="17"/>
          <w:szCs w:val="17"/>
          <w:b w:val="1"/>
          <w:bCs w:val="1"/>
          <w:color w:val="auto"/>
        </w:rPr>
      </w:pPr>
    </w:p>
    <w:p>
      <w:pPr>
        <w:ind w:left="-40" w:firstLine="987"/>
        <w:spacing w:after="0" w:line="255" w:lineRule="auto"/>
        <w:tabs>
          <w:tab w:leader="none" w:pos="134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92" w:lineRule="exact"/>
        <w:rPr>
          <w:rFonts w:ascii="Arial" w:cs="Arial" w:eastAsia="Arial" w:hAnsi="Arial"/>
          <w:sz w:val="18"/>
          <w:szCs w:val="18"/>
          <w:b w:val="1"/>
          <w:bCs w:val="1"/>
          <w:color w:val="auto"/>
        </w:rPr>
      </w:pPr>
    </w:p>
    <w:p>
      <w:pPr>
        <w:ind w:left="-40" w:firstLine="987"/>
        <w:spacing w:after="0" w:line="257" w:lineRule="auto"/>
        <w:tabs>
          <w:tab w:leader="none" w:pos="1321"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4" w:right="49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right="180" w:firstLine="440"/>
        <w:spacing w:after="0" w:line="281" w:lineRule="auto"/>
        <w:rPr>
          <w:sz w:val="20"/>
          <w:szCs w:val="20"/>
          <w:color w:val="auto"/>
        </w:rPr>
      </w:pPr>
      <w:r>
        <w:rPr>
          <w:rFonts w:ascii="Arial" w:cs="Arial" w:eastAsia="Arial" w:hAnsi="Arial"/>
          <w:sz w:val="17"/>
          <w:szCs w:val="17"/>
          <w:b w:val="1"/>
          <w:bCs w:val="1"/>
          <w:color w:val="auto"/>
        </w:rPr>
        <w:t xml:space="preserve">6.1 Amendment. </w:t>
      </w:r>
      <w:r>
        <w:rPr>
          <w:rFonts w:ascii="Arial" w:cs="Arial" w:eastAsia="Arial" w:hAnsi="Arial"/>
          <w:sz w:val="17"/>
          <w:szCs w:val="17"/>
          <w:color w:val="auto"/>
        </w:rPr>
        <w:t>This Agreement may be amended by the parties hereto, without the consent of the holder of any Warrant Certificate,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6.2 Notices and Demands to the Company and Warrant Agent. </w:t>
      </w:r>
      <w:r>
        <w:rPr>
          <w:rFonts w:ascii="Arial" w:cs="Arial" w:eastAsia="Arial" w:hAnsi="Arial"/>
          <w:sz w:val="18"/>
          <w:szCs w:val="18"/>
          <w:color w:val="auto"/>
        </w:rPr>
        <w:t>If the Warrant Agent shall receive any notice or demand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the holder of a Warrant Certificate pursuant to the provisions of the Warrant Certificates, the Warrant Agent shall promptly forward such notice or demand to the Company.</w:t>
      </w:r>
    </w:p>
    <w:p>
      <w:pPr>
        <w:spacing w:after="0" w:line="176"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b w:val="1"/>
          <w:bCs w:val="1"/>
          <w:color w:val="auto"/>
        </w:rPr>
        <w:t xml:space="preserve">6.3 Addresses. </w:t>
      </w:r>
      <w:r>
        <w:rPr>
          <w:rFonts w:ascii="Arial" w:cs="Arial" w:eastAsia="Arial" w:hAnsi="Arial"/>
          <w:sz w:val="18"/>
          <w:szCs w:val="18"/>
          <w:color w:val="auto"/>
        </w:rPr>
        <w:t>Any communication from the Company to the Warrant Agent with respect to this Agreement shall be addressed to [●],</w:t>
      </w:r>
      <w:r>
        <w:rPr>
          <w:rFonts w:ascii="Arial" w:cs="Arial" w:eastAsia="Arial" w:hAnsi="Arial"/>
          <w:sz w:val="18"/>
          <w:szCs w:val="18"/>
          <w:b w:val="1"/>
          <w:bCs w:val="1"/>
          <w:color w:val="auto"/>
        </w:rPr>
        <w:t xml:space="preserve"> </w:t>
      </w:r>
      <w:r>
        <w:rPr>
          <w:rFonts w:ascii="Arial" w:cs="Arial" w:eastAsia="Arial" w:hAnsi="Arial"/>
          <w:sz w:val="18"/>
          <w:szCs w:val="18"/>
          <w:color w:val="auto"/>
        </w:rPr>
        <w:t>Attention: [●] and any communication from the Warrant Agent to the Company with respect to this Agreement shall be addressed to Zoom Video Communications, Inc., 55 Almaden Boulevard, 6th Floor, San Jose, California 95113, Attention: [●] (or such other address as shall be specified in writing by the Warrant Agent or by the Company).</w:t>
      </w:r>
    </w:p>
    <w:p>
      <w:pPr>
        <w:spacing w:after="0" w:line="180"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6.4 Governing Law. </w:t>
      </w:r>
      <w:r>
        <w:rPr>
          <w:rFonts w:ascii="Arial" w:cs="Arial" w:eastAsia="Arial" w:hAnsi="Arial"/>
          <w:sz w:val="18"/>
          <w:szCs w:val="18"/>
          <w:color w:val="auto"/>
        </w:rPr>
        <w:t>This Agreement and each Warrant Certificate issued hereunder shall be governed by and construed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New York.</w:t>
      </w:r>
    </w:p>
    <w:p>
      <w:pPr>
        <w:spacing w:after="0" w:line="16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 xml:space="preserve">6.5 Delivery of Prospectus. </w:t>
      </w:r>
      <w:r>
        <w:rPr>
          <w:rFonts w:ascii="Arial" w:cs="Arial" w:eastAsia="Arial" w:hAnsi="Arial"/>
          <w:sz w:val="17"/>
          <w:szCs w:val="17"/>
          <w:color w:val="auto"/>
        </w:rPr>
        <w:t>The Company shall furnish to the Warrant Agent sufficient copies of a prospectus meeting the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of 1933, as amended, relating to the Warrant Debt Securities deliverable upon exercise of the Warrants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68"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6.6 Obtaining of Governmental Approvals. </w:t>
      </w:r>
      <w:r>
        <w:rPr>
          <w:rFonts w:ascii="Arial" w:cs="Arial" w:eastAsia="Arial" w:hAnsi="Arial"/>
          <w:sz w:val="18"/>
          <w:szCs w:val="18"/>
          <w:color w:val="auto"/>
        </w:rPr>
        <w:t>The Company will from time to time take all action which may be necessary to obtain and keep</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87"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6.7 Persons Having Rights Under the Agreement. </w:t>
      </w:r>
      <w:r>
        <w:rPr>
          <w:rFonts w:ascii="Arial" w:cs="Arial" w:eastAsia="Arial" w:hAnsi="Arial"/>
          <w:sz w:val="18"/>
          <w:szCs w:val="18"/>
          <w:color w:val="auto"/>
        </w:rPr>
        <w:t>Nothing in this Agreement shall give to any person other than the Company,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holders of the Warrant Certificates any right, remedy or claim under or by reason of this Agreement.</w:t>
      </w:r>
    </w:p>
    <w:p>
      <w:pPr>
        <w:spacing w:after="0" w:line="162"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6.8 Headings. </w:t>
      </w:r>
      <w:r>
        <w:rPr>
          <w:rFonts w:ascii="Arial" w:cs="Arial" w:eastAsia="Arial" w:hAnsi="Arial"/>
          <w:sz w:val="18"/>
          <w:szCs w:val="18"/>
          <w:color w:val="auto"/>
        </w:rPr>
        <w:t>The descriptive headings of the several Articles and Sections of this Agreement are inserted for convenience only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or affect the meaning or construction of any of the provisions hereof.</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146" w:name="page147"/>
    <w:bookmarkEnd w:id="146"/>
    <w:p>
      <w:pPr>
        <w:ind w:right="2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6.9 Counterparts. </w:t>
      </w:r>
      <w:r>
        <w:rPr>
          <w:rFonts w:ascii="Arial" w:cs="Arial" w:eastAsia="Arial" w:hAnsi="Arial"/>
          <w:sz w:val="18"/>
          <w:szCs w:val="18"/>
          <w:color w:val="auto"/>
        </w:rPr>
        <w:t>This Agreement may be executed in any number of counterparts, each of which as so executed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such counterparts shall together constitute but one and the same instrument.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6.10 Inspection of Agreement. </w:t>
      </w:r>
      <w:r>
        <w:rPr>
          <w:rFonts w:ascii="Arial" w:cs="Arial" w:eastAsia="Arial" w:hAnsi="Arial"/>
          <w:sz w:val="18"/>
          <w:szCs w:val="18"/>
          <w:color w:val="auto"/>
        </w:rPr>
        <w:t>A copy of this Agreement shall be available at all reasonable times at the principal corporate trust office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Agent for inspection by the holder of any Warrant Certificate. The Warrant Agent may require such holder to submit such holder’s Warrant Certificate for inspection by it.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440" w:top="270" w:right="599" w:bottom="1440" w:gutter="0" w:footer="0" w:header="0"/>
        </w:sectPr>
      </w:pPr>
    </w:p>
    <w:bookmarkStart w:id="147" w:name="page148"/>
    <w:bookmarkEnd w:id="147"/>
    <w:p>
      <w:pPr>
        <w:jc w:val="right"/>
        <w:ind w:righ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Agreement to be duly executed as of the day and year first above written.</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Zoom Video Communications, Inc., as Company</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171450</wp:posOffset>
            </wp:positionV>
            <wp:extent cx="228854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OUNTERSIGNED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14605</wp:posOffset>
            </wp:positionV>
            <wp:extent cx="22885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17145</wp:posOffset>
            </wp:positionV>
            <wp:extent cx="22885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171450</wp:posOffset>
            </wp:positionV>
            <wp:extent cx="22885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Z</w:t>
      </w:r>
      <w:r>
        <w:rPr>
          <w:rFonts w:ascii="Arial" w:cs="Arial" w:eastAsia="Arial" w:hAnsi="Arial"/>
          <w:sz w:val="14"/>
          <w:szCs w:val="14"/>
          <w:color w:val="auto"/>
        </w:rPr>
        <w:t>OOM</w:t>
      </w:r>
      <w:r>
        <w:rPr>
          <w:rFonts w:ascii="Arial" w:cs="Arial" w:eastAsia="Arial" w:hAnsi="Arial"/>
          <w:sz w:val="18"/>
          <w:szCs w:val="18"/>
          <w:color w:val="auto"/>
        </w:rPr>
        <w:t xml:space="preserve"> V</w:t>
      </w:r>
      <w:r>
        <w:rPr>
          <w:rFonts w:ascii="Arial" w:cs="Arial" w:eastAsia="Arial" w:hAnsi="Arial"/>
          <w:sz w:val="14"/>
          <w:szCs w:val="14"/>
          <w:color w:val="auto"/>
        </w:rPr>
        <w:t>IDEO</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D</w:t>
      </w:r>
      <w:r>
        <w:rPr>
          <w:rFonts w:ascii="Arial" w:cs="Arial" w:eastAsia="Arial" w:hAnsi="Arial"/>
          <w:sz w:val="14"/>
          <w:szCs w:val="14"/>
          <w:color w:val="auto"/>
        </w:rPr>
        <w:t>EBT</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W</w:t>
      </w:r>
      <w:r>
        <w:rPr>
          <w:rFonts w:ascii="Arial" w:cs="Arial" w:eastAsia="Arial" w:hAnsi="Arial"/>
          <w:sz w:val="14"/>
          <w:szCs w:val="14"/>
          <w:color w:val="auto"/>
        </w:rPr>
        <w:t>ARRANT</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ectPr>
          <w:pgSz w:w="11900" w:h="16838" w:orient="portrait"/>
          <w:cols w:equalWidth="0" w:num="1">
            <w:col w:w="9700"/>
          </w:cols>
          <w:pgMar w:left="880" w:top="270" w:right="1319" w:bottom="1440" w:gutter="0" w:footer="0" w:header="0"/>
        </w:sectPr>
      </w:pPr>
    </w:p>
    <w:bookmarkStart w:id="148" w:name="page149"/>
    <w:bookmarkEnd w:id="148"/>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FORM OF WARRANT CERTIFICATE</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[FACE OF WARRANT CERTIFICATE]</w:t>
      </w:r>
    </w:p>
    <w:p>
      <w:pPr>
        <w:sectPr>
          <w:pgSz w:w="11900" w:h="16838" w:orient="portrait"/>
          <w:cols w:equalWidth="0" w:num="1">
            <w:col w:w="10820"/>
          </w:cols>
          <w:pgMar w:left="440" w:top="270" w:right="6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Form of Legend if Warrants are not immediately exercisable.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to [●], Warrants evidenced by this Warrant Certificate cannot be exercised.]</w:t>
      </w:r>
    </w:p>
    <w:p>
      <w:pPr>
        <w:spacing w:after="0" w:line="170" w:lineRule="exact"/>
        <w:rPr>
          <w:sz w:val="20"/>
          <w:szCs w:val="20"/>
          <w:color w:val="auto"/>
        </w:rPr>
      </w:pPr>
    </w:p>
    <w:p>
      <w:pPr>
        <w:sectPr>
          <w:pgSz w:w="11900" w:h="16838" w:orient="portrait"/>
          <w:cols w:equalWidth="0" w:num="2">
            <w:col w:w="5020" w:space="720"/>
            <w:col w:w="5080"/>
          </w:cols>
          <w:pgMar w:left="440" w:top="270" w:right="639"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EXERCISABLE ONLY IF COUNTERSIGNED BY THE WARRANT AGENT AS PROVIDED HEREIN</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VOID AFTER [●] P.M., [City] time, ON [●].</w:t>
      </w:r>
    </w:p>
    <w:p>
      <w:pPr>
        <w:sectPr>
          <w:pgSz w:w="11900" w:h="16838" w:orient="portrait"/>
          <w:cols w:equalWidth="0" w:num="1">
            <w:col w:w="10820"/>
          </w:cols>
          <w:pgMar w:left="440" w:top="270" w:right="639" w:bottom="1440" w:gutter="0" w:footer="0" w:header="0"/>
          <w:type w:val="continuous"/>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[TITLE OF WARRANT DEBT SECURITIES]</w:t>
      </w:r>
    </w:p>
    <w:p>
      <w:pPr>
        <w:spacing w:after="0" w:line="238" w:lineRule="exact"/>
        <w:rPr>
          <w:sz w:val="20"/>
          <w:szCs w:val="20"/>
          <w:color w:val="auto"/>
        </w:rPr>
      </w:pPr>
    </w:p>
    <w:p>
      <w:pPr>
        <w:spacing w:after="0"/>
        <w:tabs>
          <w:tab w:leader="none" w:pos="1008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6"/>
          <w:szCs w:val="16"/>
          <w:color w:val="auto"/>
        </w:rPr>
        <w:t>[●] Warrants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Arial" w:cs="Arial" w:eastAsia="Arial" w:hAnsi="Arial"/>
          <w:sz w:val="17"/>
          <w:szCs w:val="17"/>
          <w:b w:val="1"/>
          <w:bCs w:val="1"/>
          <w:i w:val="1"/>
          <w:iCs w:val="1"/>
          <w:color w:val="auto"/>
        </w:rPr>
        <w:t>Warrant Debt Securities</w:t>
      </w:r>
      <w:r>
        <w:rPr>
          <w:rFonts w:ascii="Arial" w:cs="Arial" w:eastAsia="Arial" w:hAnsi="Arial"/>
          <w:sz w:val="17"/>
          <w:szCs w:val="17"/>
          <w:color w:val="auto"/>
        </w:rPr>
        <w:t>”), of Zoom Video Communications,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which is, on the date hereof, at the address specified on the reverse hereof, and upon compliance with and subject to the conditions set forth herein and in the Warrant Agreement (as hereinafter defined).</w:t>
      </w:r>
    </w:p>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7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ectPr>
          <w:pgSz w:w="11900" w:h="16838" w:orient="portrait"/>
          <w:cols w:equalWidth="0" w:num="1">
            <w:col w:w="11020"/>
          </w:cols>
          <w:pgMar w:left="440" w:top="270" w:right="439" w:bottom="1440" w:gutter="0" w:footer="0" w:header="0"/>
        </w:sectPr>
      </w:pPr>
    </w:p>
    <w:bookmarkStart w:id="150" w:name="page151"/>
    <w:bookmarkEnd w:id="150"/>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Warrant Debt Securities to be issued and delivered upon the exercise of Warrants evidenced by this Warrant Certificate will be issued under and in accordance with an Indenture, dated as of [●]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 as trustee (such trustee, and any successors to such trustee,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4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Company has caused this Warrant to be executed in its name and on its behalf by the facsimile signatures of its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Zoom Video Communications, Inc., </w:t>
      </w:r>
      <w:r>
        <w:rPr>
          <w:rFonts w:ascii="Arial" w:cs="Arial" w:eastAsia="Arial" w:hAnsi="Arial"/>
          <w:sz w:val="18"/>
          <w:szCs w:val="18"/>
          <w:color w:val="auto"/>
        </w:rPr>
        <w:t>as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14605</wp:posOffset>
            </wp:positionV>
            <wp:extent cx="15601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14605</wp:posOffset>
            </wp:positionV>
            <wp:extent cx="15601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14605</wp:posOffset>
            </wp:positionV>
            <wp:extent cx="15601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17145</wp:posOffset>
            </wp:positionV>
            <wp:extent cx="15601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1560195" cy="889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171450</wp:posOffset>
            </wp:positionV>
            <wp:extent cx="15601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OUNTERSIGNED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as Warrant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14605</wp:posOffset>
            </wp:positionV>
            <wp:extent cx="15601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14605</wp:posOffset>
            </wp:positionV>
            <wp:extent cx="15601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14605</wp:posOffset>
            </wp:positionV>
            <wp:extent cx="15601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ectPr>
          <w:pgSz w:w="11900" w:h="16838" w:orient="portrait"/>
          <w:cols w:equalWidth="0" w:num="1">
            <w:col w:w="10860"/>
          </w:cols>
          <w:pgMar w:left="440" w:top="274" w:right="5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808355</wp:posOffset>
            </wp:positionH>
            <wp:positionV relativeFrom="page">
              <wp:posOffset>320040</wp:posOffset>
            </wp:positionV>
            <wp:extent cx="22631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2263140" cy="8890"/>
                    </a:xfrm>
                    <a:prstGeom prst="rect">
                      <a:avLst/>
                    </a:prstGeom>
                    <a:noFill/>
                  </pic:spPr>
                </pic:pic>
              </a:graphicData>
            </a:graphic>
          </wp:anchor>
        </w:drawing>
        <w:t>A</w:t>
      </w:r>
      <w:r>
        <w:rPr>
          <w:rFonts w:ascii="Arial" w:cs="Arial" w:eastAsia="Arial" w:hAnsi="Arial"/>
          <w:sz w:val="14"/>
          <w:szCs w:val="14"/>
          <w:b w:val="1"/>
          <w:bCs w:val="1"/>
          <w:color w:val="auto"/>
        </w:rPr>
        <w:t>TTEST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17145</wp:posOffset>
            </wp:positionV>
            <wp:extent cx="22631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171450</wp:posOffset>
            </wp:positionV>
            <wp:extent cx="22631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ectPr>
          <w:pgSz w:w="11900" w:h="16838" w:orient="portrait"/>
          <w:cols w:equalWidth="0" w:num="1">
            <w:col w:w="10019"/>
          </w:cols>
          <w:pgMar w:left="440" w:top="729" w:right="1440"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[REVERSE OF WARRANT CERTIFICATE]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(Instructions for Exercise of Warrant)</w:t>
      </w:r>
    </w:p>
    <w:p>
      <w:pPr>
        <w:spacing w:after="0" w:line="229"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be executed upon exercise of Warrants)</w:t>
      </w:r>
    </w:p>
    <w:p>
      <w:pPr>
        <w:spacing w:after="0" w:line="225" w:lineRule="exact"/>
        <w:rPr>
          <w:sz w:val="20"/>
          <w:szCs w:val="20"/>
          <w:color w:val="auto"/>
        </w:rPr>
      </w:pPr>
    </w:p>
    <w:p>
      <w:pPr>
        <w:ind w:left="440"/>
        <w:spacing w:after="0"/>
        <w:tabs>
          <w:tab w:leader="none" w:pos="4920" w:val="left"/>
          <w:tab w:leader="none" w:pos="988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8"/>
          <w:szCs w:val="18"/>
          <w:color w:val="auto"/>
        </w:rPr>
        <w:t>Warrants, evidenced by this Warrant Certificate, to purchase</w:t>
      </w:r>
      <w:r>
        <w:rPr>
          <w:sz w:val="20"/>
          <w:szCs w:val="20"/>
          <w:color w:val="auto"/>
        </w:rPr>
        <w:tab/>
      </w:r>
      <w:r>
        <w:rPr>
          <w:rFonts w:ascii="Arial" w:cs="Arial" w:eastAsia="Arial" w:hAnsi="Arial"/>
          <w:sz w:val="17"/>
          <w:szCs w:val="17"/>
          <w:color w:val="auto"/>
        </w:rPr>
        <w:t>$[●] principal</w:t>
      </w:r>
    </w:p>
    <w:p>
      <w:pPr>
        <w:spacing w:after="0" w:line="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amount of the [Title of Warrant Debt Securities] (the “</w:t>
      </w:r>
      <w:r>
        <w:rPr>
          <w:rFonts w:ascii="Arial" w:cs="Arial" w:eastAsia="Arial" w:hAnsi="Arial"/>
          <w:sz w:val="16"/>
          <w:szCs w:val="16"/>
          <w:b w:val="1"/>
          <w:bCs w:val="1"/>
          <w:i w:val="1"/>
          <w:iCs w:val="1"/>
          <w:color w:val="auto"/>
        </w:rPr>
        <w:t>Warrant Debt Securities</w:t>
      </w:r>
      <w:r>
        <w:rPr>
          <w:rFonts w:ascii="Arial" w:cs="Arial" w:eastAsia="Arial" w:hAnsi="Arial"/>
          <w:sz w:val="16"/>
          <w:szCs w:val="16"/>
          <w:color w:val="auto"/>
        </w:rPr>
        <w:t>”), of Zoom Video Communications,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Zoom Video</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Communications, Inc., c/o [insert name and address of Warrant Agent], in the amount of $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spacing w:after="0" w:line="190"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23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-1905</wp:posOffset>
            </wp:positionV>
            <wp:extent cx="65665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Please Print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22282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(Insert Social Security or Other Identifying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-10160</wp:posOffset>
            </wp:positionV>
            <wp:extent cx="11709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(Signature must conform in all respects to name of holder as specified on the face of this Warrant Certificate and must bear a signature guarantee by a FINRA member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Warrant may be exercised at the following addresses: By hand 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mail at: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10860"/>
          </w:cols>
          <w:pgMar w:left="440" w:top="274" w:right="59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0" w:type="dxa"/>
            <w:vAlign w:val="bottom"/>
            <w:gridSpan w:val="4"/>
          </w:tcPr>
          <w:p>
            <w:pPr>
              <w:jc w:val="center"/>
              <w:ind w:right="4320"/>
              <w:spacing w:after="0"/>
              <w:rPr>
                <w:sz w:val="20"/>
                <w:szCs w:val="20"/>
                <w:color w:val="auto"/>
              </w:rPr>
            </w:pPr>
            <w:r>
              <w:rPr>
                <w:rFonts w:ascii="Arial" w:cs="Arial" w:eastAsia="Arial" w:hAnsi="Arial"/>
                <w:sz w:val="18"/>
                <w:szCs w:val="18"/>
                <w:b w:val="1"/>
                <w:bCs w:val="1"/>
                <w:color w:val="auto"/>
                <w:w w:val="99"/>
              </w:rPr>
              <w:t>ASSIGNMENT</w:t>
            </w:r>
          </w:p>
        </w:tc>
      </w:tr>
      <w:tr>
        <w:trPr>
          <w:trHeight w:val="432"/>
        </w:trPr>
        <w:tc>
          <w:tcPr>
            <w:tcW w:w="2400" w:type="dxa"/>
            <w:vAlign w:val="bottom"/>
          </w:tcPr>
          <w:p>
            <w:pPr>
              <w:spacing w:after="0"/>
              <w:rPr>
                <w:sz w:val="24"/>
                <w:szCs w:val="24"/>
                <w:color w:val="auto"/>
              </w:rPr>
            </w:pPr>
          </w:p>
        </w:tc>
        <w:tc>
          <w:tcPr>
            <w:tcW w:w="8560" w:type="dxa"/>
            <w:vAlign w:val="bottom"/>
            <w:gridSpan w:val="6"/>
          </w:tcPr>
          <w:p>
            <w:pPr>
              <w:jc w:val="center"/>
              <w:ind w:right="2340"/>
              <w:spacing w:after="0"/>
              <w:rPr>
                <w:sz w:val="20"/>
                <w:szCs w:val="20"/>
                <w:color w:val="auto"/>
              </w:rPr>
            </w:pPr>
            <w:r>
              <w:rPr>
                <w:rFonts w:ascii="Arial" w:cs="Arial" w:eastAsia="Arial" w:hAnsi="Arial"/>
                <w:sz w:val="18"/>
                <w:szCs w:val="18"/>
                <w:color w:val="auto"/>
                <w:w w:val="90"/>
              </w:rPr>
              <w:t>[Form of assignment to be executed if Warrant Holder desires to transfer Warrant]</w:t>
            </w:r>
          </w:p>
        </w:tc>
      </w:tr>
      <w:tr>
        <w:trPr>
          <w:trHeight w:val="432"/>
        </w:trPr>
        <w:tc>
          <w:tcPr>
            <w:tcW w:w="2400" w:type="dxa"/>
            <w:vAlign w:val="bottom"/>
          </w:tcPr>
          <w:p>
            <w:pPr>
              <w:ind w:left="4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ECEIVED</w:t>
            </w:r>
            <w:r>
              <w:rPr>
                <w:rFonts w:ascii="Arial" w:cs="Arial" w:eastAsia="Arial" w:hAnsi="Arial"/>
                <w:sz w:val="18"/>
                <w:szCs w:val="18"/>
                <w:b w:val="1"/>
                <w:bCs w:val="1"/>
                <w:color w:val="auto"/>
              </w:rPr>
              <w:t>,</w:t>
            </w:r>
          </w:p>
        </w:tc>
        <w:tc>
          <w:tcPr>
            <w:tcW w:w="520" w:type="dxa"/>
            <w:vAlign w:val="bottom"/>
          </w:tcPr>
          <w:p>
            <w:pPr>
              <w:spacing w:after="0"/>
              <w:rPr>
                <w:sz w:val="24"/>
                <w:szCs w:val="24"/>
                <w:color w:val="auto"/>
              </w:rPr>
            </w:pPr>
          </w:p>
        </w:tc>
        <w:tc>
          <w:tcPr>
            <w:tcW w:w="8040" w:type="dxa"/>
            <w:vAlign w:val="bottom"/>
            <w:gridSpan w:val="5"/>
          </w:tcPr>
          <w:p>
            <w:pPr>
              <w:ind w:left="520"/>
              <w:spacing w:after="0"/>
              <w:rPr>
                <w:sz w:val="20"/>
                <w:szCs w:val="20"/>
                <w:color w:val="auto"/>
              </w:rPr>
            </w:pPr>
            <w:r>
              <w:rPr>
                <w:rFonts w:ascii="Arial" w:cs="Arial" w:eastAsia="Arial" w:hAnsi="Arial"/>
                <w:sz w:val="18"/>
                <w:szCs w:val="18"/>
                <w:color w:val="auto"/>
              </w:rPr>
              <w:t>hereby sells, assigns and transfers unto:</w:t>
            </w:r>
          </w:p>
        </w:tc>
      </w:tr>
      <w:tr>
        <w:trPr>
          <w:trHeight w:val="418"/>
        </w:trPr>
        <w:tc>
          <w:tcPr>
            <w:tcW w:w="2920" w:type="dxa"/>
            <w:vAlign w:val="bottom"/>
            <w:tcBorders>
              <w:bottom w:val="single" w:sz="8" w:color="auto"/>
            </w:tcBorders>
            <w:gridSpan w:val="2"/>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rPr>
              <w:t>(Please print name and address including zip code)</w:t>
            </w:r>
          </w:p>
        </w:tc>
        <w:tc>
          <w:tcPr>
            <w:tcW w:w="1060" w:type="dxa"/>
            <w:vAlign w:val="bottom"/>
          </w:tcPr>
          <w:p>
            <w:pPr>
              <w:spacing w:after="0"/>
              <w:rPr>
                <w:sz w:val="19"/>
                <w:szCs w:val="19"/>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Please print Social Security or other identifying</w:t>
            </w:r>
          </w:p>
        </w:tc>
      </w:tr>
      <w:tr>
        <w:trPr>
          <w:trHeight w:val="230"/>
        </w:trPr>
        <w:tc>
          <w:tcPr>
            <w:tcW w:w="2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number</w:t>
            </w:r>
          </w:p>
        </w:tc>
      </w:tr>
      <w:tr>
        <w:trPr>
          <w:trHeight w:val="431"/>
        </w:trPr>
        <w:tc>
          <w:tcPr>
            <w:tcW w:w="4360" w:type="dxa"/>
            <w:vAlign w:val="bottom"/>
            <w:gridSpan w:val="3"/>
          </w:tcPr>
          <w:p>
            <w:pPr>
              <w:spacing w:after="0"/>
              <w:rPr>
                <w:sz w:val="20"/>
                <w:szCs w:val="20"/>
                <w:color w:val="auto"/>
              </w:rPr>
            </w:pPr>
            <w:r>
              <w:rPr>
                <w:rFonts w:ascii="Arial" w:cs="Arial" w:eastAsia="Arial" w:hAnsi="Arial"/>
                <w:sz w:val="18"/>
                <w:szCs w:val="18"/>
                <w:color w:val="auto"/>
                <w:w w:val="98"/>
              </w:rPr>
              <w:t>the right represented by the within Warrant to purchase</w:t>
            </w:r>
          </w:p>
        </w:tc>
        <w:tc>
          <w:tcPr>
            <w:tcW w:w="6600" w:type="dxa"/>
            <w:vAlign w:val="bottom"/>
            <w:gridSpan w:val="4"/>
          </w:tcPr>
          <w:p>
            <w:pPr>
              <w:ind w:left="400"/>
              <w:spacing w:after="0"/>
              <w:rPr>
                <w:sz w:val="20"/>
                <w:szCs w:val="20"/>
                <w:color w:val="auto"/>
              </w:rPr>
            </w:pPr>
            <w:r>
              <w:rPr>
                <w:rFonts w:ascii="Arial" w:cs="Arial" w:eastAsia="Arial" w:hAnsi="Arial"/>
                <w:sz w:val="18"/>
                <w:szCs w:val="18"/>
                <w:color w:val="auto"/>
                <w:w w:val="98"/>
              </w:rPr>
              <w:t>aggregate principal amount of [Title of Warrant Debt Securities] of Zoom Video</w:t>
            </w:r>
          </w:p>
        </w:tc>
      </w:tr>
      <w:tr>
        <w:trPr>
          <w:trHeight w:val="216"/>
        </w:trPr>
        <w:tc>
          <w:tcPr>
            <w:tcW w:w="5420" w:type="dxa"/>
            <w:vAlign w:val="bottom"/>
            <w:gridSpan w:val="4"/>
          </w:tcPr>
          <w:p>
            <w:pPr>
              <w:spacing w:after="0"/>
              <w:rPr>
                <w:sz w:val="20"/>
                <w:szCs w:val="20"/>
                <w:color w:val="auto"/>
              </w:rPr>
            </w:pPr>
            <w:r>
              <w:rPr>
                <w:rFonts w:ascii="Arial" w:cs="Arial" w:eastAsia="Arial" w:hAnsi="Arial"/>
                <w:sz w:val="18"/>
                <w:szCs w:val="18"/>
                <w:color w:val="auto"/>
                <w:w w:val="96"/>
              </w:rPr>
              <w:t>Communications, Inc. to which the within Warrant relates and appoints</w:t>
            </w:r>
          </w:p>
        </w:tc>
        <w:tc>
          <w:tcPr>
            <w:tcW w:w="32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Arial" w:cs="Arial" w:eastAsia="Arial" w:hAnsi="Arial"/>
                <w:sz w:val="18"/>
                <w:szCs w:val="18"/>
                <w:color w:val="auto"/>
                <w:w w:val="90"/>
              </w:rPr>
              <w:t>attorney to transfer such right on the books of the Warrant Agent with</w:t>
            </w:r>
          </w:p>
        </w:tc>
      </w:t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rPr>
              <w:t>full power of substitution in the premises.</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2400" w:type="dxa"/>
            <w:vAlign w:val="bottom"/>
          </w:tcPr>
          <w:p>
            <w:pPr>
              <w:spacing w:after="0"/>
              <w:rPr>
                <w:sz w:val="20"/>
                <w:szCs w:val="20"/>
                <w:color w:val="auto"/>
              </w:rPr>
            </w:pPr>
            <w:r>
              <w:rPr>
                <w:rFonts w:ascii="Arial" w:cs="Arial" w:eastAsia="Arial" w:hAnsi="Arial"/>
                <w:sz w:val="18"/>
                <w:szCs w:val="18"/>
                <w:color w:val="auto"/>
              </w:rPr>
              <w:t>Dated:</w:t>
            </w: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426085</wp:posOffset>
            </wp:positionH>
            <wp:positionV relativeFrom="paragraph">
              <wp:posOffset>0</wp:posOffset>
            </wp:positionV>
            <wp:extent cx="65665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jc w:val="right"/>
        <w:ind w:right="19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23139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155" w:name="page156"/>
    <w:bookmarkEnd w:id="155"/>
    <w:p>
      <w:pPr>
        <w:ind w:left="10100"/>
        <w:spacing w:after="0"/>
        <w:rPr>
          <w:sz w:val="20"/>
          <w:szCs w:val="20"/>
          <w:color w:val="auto"/>
        </w:rPr>
      </w:pPr>
      <w:r>
        <w:rPr>
          <w:rFonts w:ascii="Arial" w:cs="Arial" w:eastAsia="Arial" w:hAnsi="Arial"/>
          <w:sz w:val="17"/>
          <w:szCs w:val="17"/>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Calise Y. Cheng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ccheng@cooley.com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12,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We have acted as counsel to Zoom Video Communications,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filing of a Registration Statement on Form S-3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by the Company under the Securities Act of 1933, as amended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The Registration Statement includes a prospectus (the “</w:t>
      </w:r>
      <w:r>
        <w:rPr>
          <w:rFonts w:ascii="Arial" w:cs="Arial" w:eastAsia="Arial" w:hAnsi="Arial"/>
          <w:sz w:val="17"/>
          <w:szCs w:val="17"/>
          <w:b w:val="1"/>
          <w:bCs w:val="1"/>
          <w:color w:val="auto"/>
        </w:rPr>
        <w:t>Base Prospectus</w:t>
      </w:r>
      <w:r>
        <w:rPr>
          <w:rFonts w:ascii="Arial" w:cs="Arial" w:eastAsia="Arial" w:hAnsi="Arial"/>
          <w:sz w:val="17"/>
          <w:szCs w:val="17"/>
          <w:color w:val="auto"/>
        </w:rPr>
        <w:t>”) that provides it will be supplemented in the future by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prospectus supplements (each, a “</w:t>
      </w:r>
      <w:r>
        <w:rPr>
          <w:rFonts w:ascii="Arial" w:cs="Arial" w:eastAsia="Arial" w:hAnsi="Arial"/>
          <w:sz w:val="17"/>
          <w:szCs w:val="17"/>
          <w:b w:val="1"/>
          <w:bCs w:val="1"/>
          <w:color w:val="auto"/>
        </w:rPr>
        <w:t>Prospectus Supplement</w:t>
      </w:r>
      <w:r>
        <w:rPr>
          <w:rFonts w:ascii="Arial" w:cs="Arial" w:eastAsia="Arial" w:hAnsi="Arial"/>
          <w:sz w:val="17"/>
          <w:szCs w:val="17"/>
          <w:color w:val="auto"/>
        </w:rPr>
        <w:t>”). The Registration Statement, including the Base Prospectus (as supplemented from time to time by one or more Prospectus Supplements), will provide for the registration by the Company of:</w:t>
      </w:r>
    </w:p>
    <w:p>
      <w:pPr>
        <w:spacing w:after="0" w:line="73" w:lineRule="exact"/>
        <w:rPr>
          <w:sz w:val="20"/>
          <w:szCs w:val="20"/>
          <w:color w:val="auto"/>
        </w:rPr>
      </w:pPr>
    </w:p>
    <w:p>
      <w:pPr>
        <w:ind w:left="960" w:hanging="42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of Class A common stock, $0.001 par value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shares of preferred stock, $0.001 par value per share, of the Company (the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debt securities, in one or more series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and the Company, in the form filed as Exhibit 4.5 to the Registration Statement and one or more indentures supplemental thereto with respect to any particular series of Debt Securities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and</w:t>
      </w:r>
    </w:p>
    <w:p>
      <w:pPr>
        <w:spacing w:after="0" w:line="88" w:lineRule="exact"/>
        <w:rPr>
          <w:rFonts w:ascii="Arial" w:cs="Arial" w:eastAsia="Arial" w:hAnsi="Arial"/>
          <w:sz w:val="18"/>
          <w:szCs w:val="18"/>
          <w:color w:val="auto"/>
        </w:rPr>
      </w:pPr>
    </w:p>
    <w:p>
      <w:pPr>
        <w:ind w:left="960" w:right="80" w:hanging="424"/>
        <w:spacing w:after="0" w:line="261"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(the “</w:t>
      </w:r>
      <w:r>
        <w:rPr>
          <w:rFonts w:ascii="Arial" w:cs="Arial" w:eastAsia="Arial" w:hAnsi="Arial"/>
          <w:sz w:val="18"/>
          <w:szCs w:val="18"/>
          <w:b w:val="1"/>
          <w:bCs w:val="1"/>
          <w:color w:val="auto"/>
        </w:rPr>
        <w:t>Warrants</w:t>
      </w:r>
      <w:r>
        <w:rPr>
          <w:rFonts w:ascii="Arial" w:cs="Arial" w:eastAsia="Arial" w:hAnsi="Arial"/>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 and the Company, in the forms filed as Exhibits 4.7, 4.8 and 4.9 to the Registration Statement, respectively (each, a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18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The Common Stock, the Preferred Stock, the Debt Securities and the Warrants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are being registered for offer and sale from time to time pursuant to Rule 415 under the Securities Act.</w:t>
      </w:r>
    </w:p>
    <w:p>
      <w:pPr>
        <w:spacing w:after="0" w:line="16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pacing w:after="0" w:line="114" w:lineRule="exact"/>
        <w:rPr>
          <w:sz w:val="20"/>
          <w:szCs w:val="20"/>
          <w:color w:val="auto"/>
        </w:rPr>
      </w:pPr>
    </w:p>
    <w:p>
      <w:pPr>
        <w:jc w:val="center"/>
        <w:ind w:right="-19"/>
        <w:spacing w:after="0"/>
        <w:tabs>
          <w:tab w:leader="none" w:pos="120" w:val="left"/>
          <w:tab w:leader="none" w:pos="14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94304-1130</w:t>
      </w: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000"/>
          </w:cols>
          <w:pgMar w:left="440" w:top="121" w:right="459" w:bottom="1440" w:gutter="0" w:footer="0" w:header="0"/>
        </w:sectPr>
      </w:pPr>
    </w:p>
    <w:bookmarkStart w:id="156" w:name="page157"/>
    <w:bookmarkEnd w:id="15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Zoom Video Communications,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12,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w:t>
      </w:r>
    </w:p>
    <w:p>
      <w:pPr>
        <w:spacing w:after="0" w:line="149"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82" w:lineRule="exact"/>
        <w:rPr>
          <w:sz w:val="20"/>
          <w:szCs w:val="20"/>
          <w:color w:val="auto"/>
        </w:rPr>
      </w:pPr>
    </w:p>
    <w:p>
      <w:pPr>
        <w:ind w:left="4" w:right="80"/>
        <w:spacing w:after="0" w:line="279" w:lineRule="auto"/>
        <w:rPr>
          <w:sz w:val="20"/>
          <w:szCs w:val="20"/>
          <w:color w:val="auto"/>
        </w:rPr>
      </w:pPr>
      <w:r>
        <w:rPr>
          <w:rFonts w:ascii="Arial" w:cs="Arial" w:eastAsia="Arial" w:hAnsi="Arial"/>
          <w:sz w:val="17"/>
          <w:szCs w:val="17"/>
          <w:color w:val="auto"/>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we express no opinion and provide no assurance as to compliance with any federal or state securities law, rule or regulation.</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w:t>
      </w:r>
    </w:p>
    <w:p>
      <w:pPr>
        <w:spacing w:after="0" w:line="131" w:lineRule="exact"/>
        <w:rPr>
          <w:sz w:val="20"/>
          <w:szCs w:val="20"/>
          <w:color w:val="auto"/>
        </w:rPr>
      </w:pPr>
    </w:p>
    <w:p>
      <w:pPr>
        <w:ind w:left="424" w:right="80" w:hanging="424"/>
        <w:spacing w:after="0" w:line="287" w:lineRule="auto"/>
        <w:tabs>
          <w:tab w:leader="none" w:pos="42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and bylaws (the “</w:t>
      </w:r>
      <w:r>
        <w:rPr>
          <w:rFonts w:ascii="Arial" w:cs="Arial" w:eastAsia="Arial" w:hAnsi="Arial"/>
          <w:sz w:val="16"/>
          <w:szCs w:val="16"/>
          <w:b w:val="1"/>
          <w:bCs w:val="1"/>
          <w:color w:val="auto"/>
        </w:rPr>
        <w:t>Bylaws</w:t>
      </w:r>
      <w:r>
        <w:rPr>
          <w:rFonts w:ascii="Arial" w:cs="Arial" w:eastAsia="Arial" w:hAnsi="Arial"/>
          <w:sz w:val="16"/>
          <w:szCs w:val="16"/>
          <w:color w:val="auto"/>
        </w:rPr>
        <w:t>”), do not result in a default under or breach of any agreement or instrument binding upon the Company and comply with any 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95" w:lineRule="exact"/>
        <w:rPr>
          <w:sz w:val="20"/>
          <w:szCs w:val="20"/>
          <w:color w:val="auto"/>
        </w:rPr>
      </w:pPr>
    </w:p>
    <w:p>
      <w:pPr>
        <w:jc w:val="center"/>
        <w:ind w:right="-23"/>
        <w:spacing w:after="0"/>
        <w:tabs>
          <w:tab w:leader="none" w:pos="120" w:val="left"/>
          <w:tab w:leader="none" w:pos="14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94304-1130</w:t>
      </w:r>
    </w:p>
    <w:p>
      <w:pPr>
        <w:jc w:val="center"/>
        <w:ind w:right="-3"/>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004"/>
          </w:cols>
          <w:pgMar w:left="436" w:top="1084" w:right="459" w:bottom="1440" w:gutter="0" w:footer="0" w:header="0"/>
        </w:sectPr>
      </w:pPr>
    </w:p>
    <w:bookmarkStart w:id="157" w:name="page158"/>
    <w:bookmarkEnd w:id="15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Zoom Video Communications,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12,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ind w:left="424" w:hanging="424"/>
        <w:spacing w:after="0" w:line="269" w:lineRule="auto"/>
        <w:tabs>
          <w:tab w:leader="none" w:pos="42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pacing w:after="0" w:line="84" w:lineRule="exact"/>
        <w:rPr>
          <w:rFonts w:ascii="Arial" w:cs="Arial" w:eastAsia="Arial" w:hAnsi="Arial"/>
          <w:sz w:val="17"/>
          <w:szCs w:val="17"/>
          <w:color w:val="auto"/>
        </w:rPr>
      </w:pPr>
    </w:p>
    <w:p>
      <w:pPr>
        <w:ind w:left="424" w:right="60" w:hanging="424"/>
        <w:spacing w:after="0" w:line="286" w:lineRule="auto"/>
        <w:tabs>
          <w:tab w:leader="none" w:pos="4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72" w:lineRule="exact"/>
        <w:rPr>
          <w:rFonts w:ascii="Arial" w:cs="Arial" w:eastAsia="Arial" w:hAnsi="Arial"/>
          <w:sz w:val="16"/>
          <w:szCs w:val="16"/>
          <w:color w:val="auto"/>
        </w:rPr>
      </w:pPr>
    </w:p>
    <w:p>
      <w:pPr>
        <w:ind w:left="424" w:hanging="424"/>
        <w:spacing w:after="0" w:line="259" w:lineRule="auto"/>
        <w:tabs>
          <w:tab w:leader="none" w:pos="4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w:t>
      </w:r>
    </w:p>
    <w:p>
      <w:pPr>
        <w:spacing w:after="0" w:line="114" w:lineRule="exact"/>
        <w:rPr>
          <w:sz w:val="20"/>
          <w:szCs w:val="20"/>
          <w:color w:val="auto"/>
        </w:rPr>
      </w:pPr>
    </w:p>
    <w:p>
      <w:pPr>
        <w:jc w:val="center"/>
        <w:ind w:right="-23"/>
        <w:spacing w:after="0"/>
        <w:tabs>
          <w:tab w:leader="none" w:pos="120" w:val="left"/>
          <w:tab w:leader="none" w:pos="14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94304-1130</w:t>
      </w:r>
    </w:p>
    <w:p>
      <w:pPr>
        <w:jc w:val="center"/>
        <w:ind w:right="-3"/>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004"/>
          </w:cols>
          <w:pgMar w:left="436" w:top="1084"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Zoom Video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43" w:lineRule="exact"/>
        <w:rPr>
          <w:sz w:val="20"/>
          <w:szCs w:val="20"/>
          <w:color w:val="auto"/>
        </w:rPr>
      </w:pPr>
    </w:p>
    <w:p>
      <w:pPr>
        <w:ind w:left="420" w:right="80"/>
        <w:spacing w:after="0" w:line="291" w:lineRule="auto"/>
        <w:rPr>
          <w:sz w:val="20"/>
          <w:szCs w:val="20"/>
          <w:color w:val="auto"/>
        </w:rPr>
      </w:pPr>
      <w:r>
        <w:rPr>
          <w:rFonts w:ascii="Arial" w:cs="Arial" w:eastAsia="Arial" w:hAnsi="Arial"/>
          <w:sz w:val="16"/>
          <w:szCs w:val="16"/>
          <w:color w:val="auto"/>
        </w:rPr>
        <w:t>Warrant Agent by all necessary corporate action; (iii) the applicable Warrant Agreement has been duly executed and delivered by the Company and the Warrant Agent; (iv) the issuance and terms of the Warrants have been duly authorized by the Company by all necessary corporate action;</w:t>
      </w:r>
    </w:p>
    <w:p>
      <w:pPr>
        <w:ind w:left="420" w:firstLine="8"/>
        <w:spacing w:after="0" w:line="286" w:lineRule="auto"/>
        <w:tabs>
          <w:tab w:leader="none" w:pos="67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as contemplated in the Registration Statement, the Base Prospectus and the Prospectus Supplement(s) and in accordance with the applicable Warrant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under the caption “Legal Matters” in the Base Prospectus.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256"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8"/>
          <w:szCs w:val="18"/>
          <w:color w:val="auto"/>
        </w:rPr>
        <w:t>By:</w:t>
        <w:tab/>
        <w:t>/s/ Calise 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9100"/>
        <w:spacing w:after="0"/>
        <w:rPr>
          <w:sz w:val="20"/>
          <w:szCs w:val="20"/>
          <w:color w:val="auto"/>
        </w:rPr>
      </w:pPr>
      <w:r>
        <w:rPr>
          <w:rFonts w:ascii="Arial" w:cs="Arial" w:eastAsia="Arial" w:hAnsi="Arial"/>
          <w:sz w:val="18"/>
          <w:szCs w:val="18"/>
          <w:color w:val="auto"/>
        </w:rPr>
        <w:t>Calise Y. Cheng</w:t>
      </w:r>
    </w:p>
    <w:p>
      <w:pPr>
        <w:spacing w:after="0" w:line="153" w:lineRule="exact"/>
        <w:rPr>
          <w:sz w:val="20"/>
          <w:szCs w:val="20"/>
          <w:color w:val="auto"/>
        </w:rPr>
      </w:pPr>
    </w:p>
    <w:p>
      <w:pPr>
        <w:jc w:val="center"/>
        <w:ind w:right="-79"/>
        <w:spacing w:after="0"/>
        <w:tabs>
          <w:tab w:leader="none" w:pos="120" w:val="left"/>
          <w:tab w:leader="none" w:pos="14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94304-1130</w:t>
      </w:r>
    </w:p>
    <w:p>
      <w:pPr>
        <w:jc w:val="center"/>
        <w:ind w:right="-79"/>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0940"/>
          </w:cols>
          <w:pgMar w:left="440" w:top="1084" w:right="5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incorporated by reference herein and to the reference to our firm under the heading “Experts” in the prospectus.</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Our report on the consolidated financial statements refers to Zoom Video Communications, Inc.’s adoption of Financial Accounting Standards Board’s Accounting Standard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as of February 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1)"/>
      <w:numFmt w:val="lowerRoman"/>
      <w:start w:val="2"/>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1)"/>
      <w:numFmt w:val="decimal"/>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1"/>
      <w:numFmt w:val="lowerRoman"/>
      <w:start w:val="1"/>
    </w:lvl>
    <w:lvl w:ilvl="1">
      <w:lvlJc w:val="left"/>
      <w:lvlText w:val="(%2)"/>
      <w:numFmt w:val="decimal"/>
      <w:start w:val="1"/>
    </w:lvl>
  </w:abstractNum>
  <w:abstractNum w:abstractNumId="31">
    <w:nsid w:val="11447B73"/>
    <w:multiLevelType w:val="hybridMultilevel"/>
    <w:lvl w:ilvl="0">
      <w:lvlJc w:val="left"/>
      <w:lvlText w:val="(%1)"/>
      <w:numFmt w:val="lowerRoman"/>
      <w:start w:val="1"/>
    </w:lvl>
    <w:lvl w:ilvl="1">
      <w:lvlJc w:val="left"/>
      <w:lvlText w:val="%2"/>
      <w:numFmt w:val="decimal"/>
      <w:start w:val="1"/>
    </w:lvl>
  </w:abstractNum>
  <w:abstractNum w:abstractNumId="32">
    <w:nsid w:val="42963E5A"/>
    <w:multiLevelType w:val="hybridMultilevel"/>
    <w:lvl w:ilvl="0">
      <w:lvlJc w:val="left"/>
      <w:lvlText w:val="%1"/>
      <w:numFmt w:val="lowerRoman"/>
      <w:start w:val="1"/>
    </w:lvl>
    <w:lvl w:ilvl="1">
      <w:lvlJc w:val="left"/>
      <w:lvlText w:val="(%2)"/>
      <w:numFmt w:val="decimal"/>
      <w:start w:val="2"/>
    </w:lvl>
  </w:abstractNum>
  <w:abstractNum w:abstractNumId="33">
    <w:nsid w:val="A0382C5"/>
    <w:multiLevelType w:val="hybridMultilevel"/>
    <w:lvl w:ilvl="0">
      <w:lvlJc w:val="left"/>
      <w:lvlText w:val="(%1)"/>
      <w:numFmt w:val="lowerRoman"/>
      <w:start w:val="1"/>
    </w:lvl>
    <w:lvl w:ilvl="1">
      <w:lvlJc w:val="left"/>
      <w:lvlText w:val="%2"/>
      <w:numFmt w:val="decimal"/>
      <w:start w:val="1"/>
    </w:lvl>
  </w:abstractNum>
  <w:abstractNum w:abstractNumId="34">
    <w:nsid w:val="8F2B15E"/>
    <w:multiLevelType w:val="hybridMultilevel"/>
    <w:lvl w:ilvl="0">
      <w:lvlJc w:val="left"/>
      <w:lvlText w:val="%1"/>
      <w:numFmt w:val="lowerRoman"/>
      <w:start w:val="1"/>
    </w:lvl>
    <w:lvl w:ilvl="1">
      <w:lvlJc w:val="left"/>
      <w:lvlText w:val="(%2)"/>
      <w:numFmt w:val="decimal"/>
      <w:start w:val="5"/>
    </w:lvl>
  </w:abstractNum>
  <w:abstractNum w:abstractNumId="35">
    <w:nsid w:val="1A32234B"/>
    <w:multiLevelType w:val="hybridMultilevel"/>
    <w:lvl w:ilvl="0">
      <w:lvlJc w:val="left"/>
      <w:lvlText w:val="(%1)"/>
      <w:numFmt w:val="lowerRoman"/>
      <w:start w:val="1"/>
    </w:lvl>
    <w:lvl w:ilvl="1">
      <w:lvlJc w:val="left"/>
      <w:lvlText w:val="(%2)"/>
      <w:numFmt w:val="decimal"/>
      <w:start w:val="6"/>
    </w:lvl>
  </w:abstractNum>
  <w:abstractNum w:abstractNumId="36">
    <w:nsid w:val="3B0FD379"/>
    <w:multiLevelType w:val="hybridMultilevel"/>
    <w:lvl w:ilvl="0">
      <w:lvlJc w:val="left"/>
      <w:lvlText w:val="(%1)"/>
      <w:numFmt w:val="lowerLetter"/>
      <w:start w:val="1"/>
    </w:lvl>
    <w:lvl w:ilvl="1">
      <w:lvlJc w:val="left"/>
      <w:lvlText w:val="(%2)"/>
      <w:numFmt w:val="decimal"/>
      <w:start w:val="1"/>
    </w:lvl>
  </w:abstractNum>
  <w:abstractNum w:abstractNumId="37">
    <w:nsid w:val="68EB2F63"/>
    <w:multiLevelType w:val="hybridMultilevel"/>
    <w:lvl w:ilvl="0">
      <w:lvlJc w:val="left"/>
      <w:lvlText w:val="(%1)"/>
      <w:numFmt w:val="decimal"/>
      <w:start w:val="3"/>
    </w:lvl>
  </w:abstractNum>
  <w:abstractNum w:abstractNumId="38">
    <w:nsid w:val="4962813B"/>
    <w:multiLevelType w:val="hybridMultilevel"/>
    <w:lvl w:ilvl="0">
      <w:lvlJc w:val="left"/>
      <w:lvlText w:val="(%1)"/>
      <w:numFmt w:val="decimal"/>
      <w:start w:val="15"/>
    </w:lvl>
  </w:abstractNum>
  <w:abstractNum w:abstractNumId="39">
    <w:nsid w:val="60B6DF70"/>
    <w:multiLevelType w:val="hybridMultilevel"/>
    <w:lvl w:ilvl="0">
      <w:lvlJc w:val="left"/>
      <w:lvlText w:val="(%1)"/>
      <w:numFmt w:val="decimal"/>
      <w:start w:val="26"/>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1)"/>
      <w:numFmt w:val="lowerLetter"/>
      <w:start w:val="1"/>
    </w:lvl>
  </w:abstractNum>
  <w:abstractNum w:abstractNumId="42">
    <w:nsid w:val="7FFFCA11"/>
    <w:multiLevelType w:val="hybridMultilevel"/>
    <w:lvl w:ilvl="0">
      <w:lvlJc w:val="left"/>
      <w:lvlText w:val="(%1)"/>
      <w:numFmt w:val="lowerLetter"/>
      <w:start w:val="3"/>
    </w:lvl>
  </w:abstractNum>
  <w:abstractNum w:abstractNumId="43">
    <w:nsid w:val="1A27709E"/>
    <w:multiLevelType w:val="hybridMultilevel"/>
    <w:lvl w:ilvl="0">
      <w:lvlJc w:val="left"/>
      <w:lvlText w:val="(%1)"/>
      <w:numFmt w:val="lowerLetter"/>
      <w:start w:val="1"/>
    </w:lvl>
  </w:abstractNum>
  <w:abstractNum w:abstractNumId="44">
    <w:nsid w:val="71EA1109"/>
    <w:multiLevelType w:val="hybridMultilevel"/>
    <w:lvl w:ilvl="0">
      <w:lvlJc w:val="left"/>
      <w:lvlText w:val="(%1)"/>
      <w:numFmt w:val="lowerLetter"/>
      <w:start w:val="3"/>
    </w:lvl>
  </w:abstractNum>
  <w:abstractNum w:abstractNumId="45">
    <w:nsid w:val="100F59DC"/>
    <w:multiLevelType w:val="hybridMultilevel"/>
    <w:lvl w:ilvl="0">
      <w:lvlJc w:val="left"/>
      <w:lvlText w:val="(%1)"/>
      <w:numFmt w:val="lowerLetter"/>
      <w:start w:val="1"/>
    </w:lvl>
  </w:abstractNum>
  <w:abstractNum w:abstractNumId="46">
    <w:nsid w:val="7FB7E0AA"/>
    <w:multiLevelType w:val="hybridMultilevel"/>
    <w:lvl w:ilvl="0">
      <w:lvlJc w:val="left"/>
      <w:lvlText w:val="(%1)"/>
      <w:numFmt w:val="lowerLetter"/>
      <w:start w:val="2"/>
    </w:lvl>
  </w:abstractNum>
  <w:abstractNum w:abstractNumId="47">
    <w:nsid w:val="6EB5BD4"/>
    <w:multiLevelType w:val="hybridMultilevel"/>
    <w:lvl w:ilvl="0">
      <w:lvlJc w:val="left"/>
      <w:lvlText w:val="(%1)"/>
      <w:numFmt w:val="lowerLetter"/>
      <w:start w:val="1"/>
    </w:lvl>
  </w:abstractNum>
  <w:abstractNum w:abstractNumId="48">
    <w:nsid w:val="6F6DD9AC"/>
    <w:multiLevelType w:val="hybridMultilevel"/>
    <w:lvl w:ilvl="0">
      <w:lvlJc w:val="left"/>
      <w:lvlText w:val="(%1)"/>
      <w:numFmt w:val="lowerLetter"/>
      <w:start w:val="1"/>
    </w:lvl>
    <w:lvl w:ilvl="1">
      <w:lvlJc w:val="left"/>
      <w:lvlText w:val="(%2)"/>
      <w:numFmt w:val="decimal"/>
      <w:start w:val="1"/>
    </w:lvl>
  </w:abstractNum>
  <w:abstractNum w:abstractNumId="49">
    <w:nsid w:val="94211F2"/>
    <w:multiLevelType w:val="hybridMultilevel"/>
    <w:lvl w:ilvl="0">
      <w:lvlJc w:val="left"/>
      <w:lvlText w:val="%1"/>
      <w:numFmt w:val="lowerLetter"/>
      <w:start w:val="1"/>
    </w:lvl>
    <w:lvl w:ilvl="1">
      <w:lvlJc w:val="left"/>
      <w:lvlText w:val="(%2)"/>
      <w:numFmt w:val="decimal"/>
      <w:start w:val="4"/>
    </w:lvl>
  </w:abstractNum>
  <w:abstractNum w:abstractNumId="50">
    <w:nsid w:val="885E1B"/>
    <w:multiLevelType w:val="hybridMultilevel"/>
    <w:lvl w:ilvl="0">
      <w:lvlJc w:val="left"/>
      <w:lvlText w:val="(%1)"/>
      <w:numFmt w:val="lowerLetter"/>
      <w:start w:val="2"/>
    </w:lvl>
    <w:lvl w:ilvl="1">
      <w:lvlJc w:val="left"/>
      <w:lvlText w:val="%2"/>
      <w:numFmt w:val="decimal"/>
      <w:start w:val="1"/>
    </w:lvl>
  </w:abstractNum>
  <w:abstractNum w:abstractNumId="51">
    <w:nsid w:val="76272110"/>
    <w:multiLevelType w:val="hybridMultilevel"/>
    <w:lvl w:ilvl="0">
      <w:lvlJc w:val="left"/>
      <w:lvlText w:val="(%1)"/>
      <w:numFmt w:val="lowerLetter"/>
      <w:start w:val="1"/>
    </w:lvl>
  </w:abstractNum>
  <w:abstractNum w:abstractNumId="52">
    <w:nsid w:val="4C04A8AF"/>
    <w:multiLevelType w:val="hybridMultilevel"/>
    <w:lvl w:ilvl="0">
      <w:lvlJc w:val="left"/>
      <w:lvlText w:val="(%1)"/>
      <w:numFmt w:val="lowerLetter"/>
      <w:start w:val="1"/>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lowerLetter"/>
      <w:start w:val="1"/>
    </w:lvl>
    <w:lvl w:ilvl="1">
      <w:lvlJc w:val="left"/>
      <w:lvlText w:val="(%2)"/>
      <w:numFmt w:val="decimal"/>
      <w:start w:val="1"/>
    </w:lvl>
  </w:abstractNum>
  <w:abstractNum w:abstractNumId="55">
    <w:nsid w:val="3222E7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56">
    <w:nsid w:val="74DE0EE3"/>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7">
    <w:nsid w:val="68EBC550"/>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58">
    <w:nsid w:val="2DF6D648"/>
    <w:multiLevelType w:val="hybridMultilevel"/>
    <w:lvl w:ilvl="0">
      <w:lvlJc w:val="left"/>
      <w:lvlText w:val="(%1)"/>
      <w:numFmt w:val="lowerLetter"/>
      <w:start w:val="4"/>
    </w:lvl>
  </w:abstractNum>
  <w:abstractNum w:abstractNumId="59">
    <w:nsid w:val="46B7D447"/>
    <w:multiLevelType w:val="hybridMultilevel"/>
    <w:lvl w:ilvl="0">
      <w:lvlJc w:val="left"/>
      <w:lvlText w:val="(%1)"/>
      <w:numFmt w:val="lowerLetter"/>
      <w:start w:val="1"/>
    </w:lvl>
  </w:abstractNum>
  <w:abstractNum w:abstractNumId="60">
    <w:nsid w:val="4A2AC315"/>
    <w:multiLevelType w:val="hybridMultilevel"/>
    <w:lvl w:ilvl="0">
      <w:lvlJc w:val="left"/>
      <w:lvlText w:val="(%1)"/>
      <w:numFmt w:val="lowerLetter"/>
      <w:start w:val="4"/>
    </w:lvl>
  </w:abstractNum>
  <w:abstractNum w:abstractNumId="61">
    <w:nsid w:val="39EE015C"/>
    <w:multiLevelType w:val="hybridMultilevel"/>
    <w:lvl w:ilvl="0">
      <w:lvlJc w:val="left"/>
      <w:lvlText w:val="(%1)"/>
      <w:numFmt w:val="lowerLetter"/>
      <w:start w:val="1"/>
    </w:lvl>
  </w:abstractNum>
  <w:abstractNum w:abstractNumId="62">
    <w:nsid w:val="57FC4FBB"/>
    <w:multiLevelType w:val="hybridMultilevel"/>
    <w:lvl w:ilvl="0">
      <w:lvlJc w:val="left"/>
      <w:lvlText w:val="(%1)"/>
      <w:numFmt w:val="lowerLetter"/>
      <w:start w:val="2"/>
    </w:lvl>
  </w:abstractNum>
  <w:abstractNum w:abstractNumId="63">
    <w:nsid w:val="CC1016F"/>
    <w:multiLevelType w:val="hybridMultilevel"/>
    <w:lvl w:ilvl="0">
      <w:lvlJc w:val="left"/>
      <w:lvlText w:val="(%1)"/>
      <w:numFmt w:val="lowerLetter"/>
      <w:start w:val="1"/>
    </w:lvl>
  </w:abstractNum>
  <w:abstractNum w:abstractNumId="64">
    <w:nsid w:val="43F18422"/>
    <w:multiLevelType w:val="hybridMultilevel"/>
    <w:lvl w:ilvl="0">
      <w:lvlJc w:val="left"/>
      <w:lvlText w:val="(%1)"/>
      <w:numFmt w:val="lowerRoman"/>
      <w:start w:val="1"/>
    </w:lvl>
    <w:lvl w:ilvl="1">
      <w:lvlJc w:val="left"/>
      <w:lvlText w:val="(%2)"/>
      <w:numFmt w:val="upperLetter"/>
      <w:start w:val="1"/>
    </w:lvl>
  </w:abstractNum>
  <w:abstractNum w:abstractNumId="65">
    <w:nsid w:val="60EF0119"/>
    <w:multiLevelType w:val="hybridMultilevel"/>
    <w:lvl w:ilvl="0">
      <w:lvlJc w:val="left"/>
      <w:lvlText w:val="(%1)"/>
      <w:numFmt w:val="lowerRoman"/>
      <w:start w:val="2"/>
    </w:lvl>
  </w:abstractNum>
  <w:abstractNum w:abstractNumId="66">
    <w:nsid w:val="26F324BA"/>
    <w:multiLevelType w:val="hybridMultilevel"/>
    <w:lvl w:ilvl="0">
      <w:lvlJc w:val="left"/>
      <w:lvlText w:val="(%1)"/>
      <w:numFmt w:val="lowerLetter"/>
      <w:start w:val="1"/>
    </w:lvl>
  </w:abstractNum>
  <w:abstractNum w:abstractNumId="67">
    <w:nsid w:val="7F01579B"/>
    <w:multiLevelType w:val="hybridMultilevel"/>
    <w:lvl w:ilvl="0">
      <w:lvlJc w:val="left"/>
      <w:lvlText w:val="(%1)"/>
      <w:numFmt w:val="lowerLetter"/>
      <w:start w:val="4"/>
    </w:lvl>
  </w:abstractNum>
  <w:abstractNum w:abstractNumId="68">
    <w:nsid w:val="49DA307D"/>
    <w:multiLevelType w:val="hybridMultilevel"/>
    <w:lvl w:ilvl="0">
      <w:lvlJc w:val="left"/>
      <w:lvlText w:val="(%1)"/>
      <w:numFmt w:val="lowerLetter"/>
      <w:start w:val="10"/>
    </w:lvl>
  </w:abstractNum>
  <w:abstractNum w:abstractNumId="69">
    <w:nsid w:val="7055A5F5"/>
    <w:multiLevelType w:val="hybridMultilevel"/>
    <w:lvl w:ilvl="0">
      <w:lvlJc w:val="left"/>
      <w:lvlText w:val="(%1)"/>
      <w:numFmt w:val="lowerLetter"/>
      <w:start w:val="1"/>
    </w:lvl>
  </w:abstractNum>
  <w:abstractNum w:abstractNumId="70">
    <w:nsid w:val="5FB8370B"/>
    <w:multiLevelType w:val="hybridMultilevel"/>
    <w:lvl w:ilvl="0">
      <w:lvlJc w:val="left"/>
      <w:lvlText w:val="(%1)"/>
      <w:numFmt w:val="lowerLetter"/>
      <w:start w:val="1"/>
    </w:lvl>
  </w:abstractNum>
  <w:abstractNum w:abstractNumId="71">
    <w:nsid w:val="50801EE1"/>
    <w:multiLevelType w:val="hybridMultilevel"/>
    <w:lvl w:ilvl="0">
      <w:lvlJc w:val="left"/>
      <w:lvlText w:val="(%1)"/>
      <w:numFmt w:val="lowerLetter"/>
      <w:start w:val="1"/>
    </w:lvl>
  </w:abstractNum>
  <w:abstractNum w:abstractNumId="72">
    <w:nsid w:val="488AC1A"/>
    <w:multiLevelType w:val="hybridMultilevel"/>
    <w:lvl w:ilvl="0">
      <w:lvlJc w:val="left"/>
      <w:lvlText w:val="(%1)"/>
      <w:numFmt w:val="lowerLetter"/>
      <w:start w:val="2"/>
    </w:lvl>
    <w:lvl w:ilvl="1">
      <w:lvlJc w:val="left"/>
      <w:lvlText w:val="(%2)"/>
      <w:numFmt w:val="lowerRoman"/>
      <w:start w:val="1"/>
    </w:lvl>
  </w:abstractNum>
  <w:abstractNum w:abstractNumId="73">
    <w:nsid w:val="5FB8011C"/>
    <w:multiLevelType w:val="hybridMultilevel"/>
    <w:lvl w:ilvl="0">
      <w:lvlJc w:val="left"/>
      <w:lvlText w:val="(%1)"/>
      <w:numFmt w:val="lowerLetter"/>
      <w:start w:val="3"/>
    </w:lvl>
  </w:abstractNum>
  <w:abstractNum w:abstractNumId="74">
    <w:nsid w:val="6AA78F7F"/>
    <w:multiLevelType w:val="hybridMultilevel"/>
    <w:lvl w:ilvl="0">
      <w:lvlJc w:val="left"/>
      <w:lvlText w:val="(%1)"/>
      <w:numFmt w:val="lowerLetter"/>
      <w:start w:val="1"/>
    </w:lvl>
  </w:abstractNum>
  <w:abstractNum w:abstractNumId="75">
    <w:nsid w:val="7672BD23"/>
    <w:multiLevelType w:val="hybridMultilevel"/>
    <w:lvl w:ilvl="0">
      <w:lvlJc w:val="left"/>
      <w:lvlText w:val="(%1)"/>
      <w:numFmt w:val="lowerLetter"/>
      <w:start w:val="4"/>
    </w:lvl>
  </w:abstractNum>
  <w:abstractNum w:abstractNumId="76">
    <w:nsid w:val="6FC75AF8"/>
    <w:multiLevelType w:val="hybridMultilevel"/>
    <w:lvl w:ilvl="0">
      <w:lvlJc w:val="left"/>
      <w:lvlText w:val="(%1)"/>
      <w:numFmt w:val="lowerLetter"/>
      <w:start w:val="1"/>
    </w:lvl>
  </w:abstractNum>
  <w:abstractNum w:abstractNumId="77">
    <w:nsid w:val="6A5F7029"/>
    <w:multiLevelType w:val="hybridMultilevel"/>
    <w:lvl w:ilvl="0">
      <w:lvlJc w:val="left"/>
      <w:lvlText w:val="(%1)"/>
      <w:numFmt w:val="lowerLetter"/>
      <w:start w:val="2"/>
    </w:lvl>
  </w:abstractNum>
  <w:abstractNum w:abstractNumId="78">
    <w:nsid w:val="7D5E18F8"/>
    <w:multiLevelType w:val="hybridMultilevel"/>
    <w:lvl w:ilvl="0">
      <w:lvlJc w:val="left"/>
      <w:lvlText w:val="(%1)"/>
      <w:numFmt w:val="lowerLetter"/>
      <w:start w:val="1"/>
    </w:lvl>
  </w:abstractNum>
  <w:abstractNum w:abstractNumId="79">
    <w:nsid w:val="5F3534A4"/>
    <w:multiLevelType w:val="hybridMultilevel"/>
    <w:lvl w:ilvl="0">
      <w:lvlJc w:val="left"/>
      <w:lvlText w:val="(%1)"/>
      <w:numFmt w:val="lowerLetter"/>
      <w:start w:val="8"/>
    </w:lvl>
  </w:abstractNum>
  <w:abstractNum w:abstractNumId="80">
    <w:nsid w:val="73A1821B"/>
    <w:multiLevelType w:val="hybridMultilevel"/>
    <w:lvl w:ilvl="0">
      <w:lvlJc w:val="left"/>
      <w:lvlText w:val="(%1)"/>
      <w:numFmt w:val="lowerLetter"/>
      <w:start w:val="1"/>
    </w:lvl>
  </w:abstractNum>
  <w:abstractNum w:abstractNumId="81">
    <w:nsid w:val="7DE67713"/>
    <w:multiLevelType w:val="hybridMultilevel"/>
    <w:lvl w:ilvl="0">
      <w:lvlJc w:val="left"/>
      <w:lvlText w:val="(%1)"/>
      <w:numFmt w:val="lowerLetter"/>
      <w:start w:val="2"/>
    </w:lvl>
  </w:abstractNum>
  <w:abstractNum w:abstractNumId="82">
    <w:nsid w:val="555C55B5"/>
    <w:multiLevelType w:val="hybridMultilevel"/>
    <w:lvl w:ilvl="0">
      <w:lvlJc w:val="left"/>
      <w:lvlText w:val="%1"/>
      <w:numFmt w:val="lowerLetter"/>
      <w:start w:val="1"/>
    </w:lvl>
    <w:lvl w:ilvl="1">
      <w:lvlJc w:val="left"/>
      <w:lvlText w:val="(%2)"/>
      <w:numFmt w:val="lowerLetter"/>
      <w:start w:val="1"/>
    </w:lvl>
  </w:abstractNum>
  <w:abstractNum w:abstractNumId="83">
    <w:nsid w:val="3FA62ACA"/>
    <w:multiLevelType w:val="hybridMultilevel"/>
    <w:lvl w:ilvl="0">
      <w:lvlJc w:val="left"/>
      <w:lvlText w:val="(%1)"/>
      <w:numFmt w:val="lowerLetter"/>
      <w:start w:val="61"/>
    </w:lvl>
    <w:lvl w:ilvl="1">
      <w:lvlJc w:val="left"/>
      <w:lvlText w:val="%2"/>
      <w:numFmt w:val="lowerLetter"/>
      <w:start w:val="1"/>
    </w:lvl>
  </w:abstractNum>
  <w:abstractNum w:abstractNumId="84">
    <w:nsid w:val="14FCE74E"/>
    <w:multiLevelType w:val="hybridMultilevel"/>
    <w:lvl w:ilvl="0">
      <w:lvlJc w:val="left"/>
      <w:lvlText w:val="(%1)"/>
      <w:numFmt w:val="decimal"/>
      <w:start w:val="1"/>
    </w:lvl>
  </w:abstractNum>
  <w:abstractNum w:abstractNumId="85">
    <w:nsid w:val="6A3DD3E8"/>
    <w:multiLevelType w:val="hybridMultilevel"/>
    <w:lvl w:ilvl="0">
      <w:lvlJc w:val="left"/>
      <w:lvlText w:val=","/>
      <w:numFmt w:val="bullet"/>
      <w:start w:val="1"/>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lowerLetter"/>
      <w:start w:val="2"/>
    </w:lvl>
  </w:abstractNum>
  <w:abstractNum w:abstractNumId="88">
    <w:nsid w:val="53299938"/>
    <w:multiLevelType w:val="hybridMultilevel"/>
    <w:lvl w:ilvl="0">
      <w:lvlJc w:val="left"/>
      <w:lvlText w:val="(%1)"/>
      <w:numFmt w:val="lowerLetter"/>
      <w:start w:val="1"/>
    </w:lvl>
  </w:abstractNum>
  <w:abstractNum w:abstractNumId="89">
    <w:nsid w:val="1FBFE8E0"/>
    <w:multiLevelType w:val="hybridMultilevel"/>
    <w:lvl w:ilvl="0">
      <w:lvlJc w:val="left"/>
      <w:lvlText w:val="(%1)"/>
      <w:numFmt w:val="lowerRoman"/>
      <w:start w:val="1"/>
    </w:lvl>
  </w:abstractNum>
  <w:abstractNum w:abstractNumId="90">
    <w:nsid w:val="5092CA79"/>
    <w:multiLevelType w:val="hybridMultilevel"/>
    <w:lvl w:ilvl="0">
      <w:lvlJc w:val="left"/>
      <w:lvlText w:val="%1"/>
      <w:numFmt w:val="lowerLetter"/>
      <w:start w:val="1"/>
    </w:lvl>
    <w:lvl w:ilvl="1">
      <w:lvlJc w:val="left"/>
      <w:lvlText w:val="(%2)"/>
      <w:numFmt w:val="lowerRoman"/>
      <w:start w:val="2"/>
    </w:lvl>
  </w:abstractNum>
  <w:abstractNum w:abstractNumId="91">
    <w:nsid w:val="1D545C4D"/>
    <w:multiLevelType w:val="hybridMultilevel"/>
    <w:lvl w:ilvl="0">
      <w:lvlJc w:val="left"/>
      <w:lvlText w:val="(%1)"/>
      <w:numFmt w:val="lowerLetter"/>
      <w:start w:val="3"/>
    </w:lvl>
    <w:lvl w:ilvl="1">
      <w:lvlJc w:val="left"/>
      <w:lvlText w:val="%2"/>
      <w:numFmt w:val="lowerRoman"/>
      <w:start w:val="1"/>
    </w:lvl>
  </w:abstractNum>
  <w:abstractNum w:abstractNumId="92">
    <w:nsid w:val="59ADEA3D"/>
    <w:multiLevelType w:val="hybridMultilevel"/>
    <w:lvl w:ilvl="0">
      <w:lvlJc w:val="left"/>
      <w:lvlText w:val="(%1)"/>
      <w:numFmt w:val="lowerLetter"/>
      <w:start w:val="4"/>
    </w:lvl>
  </w:abstractNum>
  <w:abstractNum w:abstractNumId="93">
    <w:nsid w:val="288F1A34"/>
    <w:multiLevelType w:val="hybridMultilevel"/>
    <w:lvl w:ilvl="0">
      <w:lvlJc w:val="left"/>
      <w:lvlText w:val="(%1)"/>
      <w:numFmt w:val="lowerLetter"/>
      <w:start w:val="1"/>
    </w:lvl>
  </w:abstractNum>
  <w:abstractNum w:abstractNumId="94">
    <w:nsid w:val="2A155DBC"/>
    <w:multiLevelType w:val="hybridMultilevel"/>
    <w:lvl w:ilvl="0">
      <w:lvlJc w:val="left"/>
      <w:lvlText w:val="(%1)"/>
      <w:numFmt w:val="lowerLetter"/>
      <w:start w:val="1"/>
    </w:lvl>
  </w:abstractNum>
  <w:abstractNum w:abstractNumId="95">
    <w:nsid w:val="1D9F6E5F"/>
    <w:multiLevelType w:val="hybridMultilevel"/>
    <w:lvl w:ilvl="0">
      <w:lvlJc w:val="left"/>
      <w:lvlText w:val="(%1)"/>
      <w:numFmt w:val="lowerRoman"/>
      <w:start w:val="1"/>
    </w:lvl>
  </w:abstractNum>
  <w:abstractNum w:abstractNumId="96">
    <w:nsid w:val="97E1B4E"/>
    <w:multiLevelType w:val="hybridMultilevel"/>
    <w:lvl w:ilvl="0">
      <w:lvlJc w:val="left"/>
      <w:lvlText w:val="(%1)"/>
      <w:numFmt w:val="lowerLetter"/>
      <w:start w:val="1"/>
    </w:lvl>
  </w:abstractNum>
  <w:abstractNum w:abstractNumId="97">
    <w:nsid w:val="51088277"/>
    <w:multiLevelType w:val="hybridMultilevel"/>
    <w:lvl w:ilvl="0">
      <w:lvlJc w:val="left"/>
      <w:lvlText w:val="(%1)"/>
      <w:numFmt w:val="lowerLetter"/>
      <w:start w:val="4"/>
    </w:lvl>
  </w:abstractNum>
  <w:abstractNum w:abstractNumId="98">
    <w:nsid w:val="1CA0C5FA"/>
    <w:multiLevelType w:val="hybridMultilevel"/>
    <w:lvl w:ilvl="0">
      <w:lvlJc w:val="left"/>
      <w:lvlText w:val=","/>
      <w:numFmt w:val="bullet"/>
      <w:start w:val="1"/>
    </w:lvl>
  </w:abstractNum>
  <w:abstractNum w:abstractNumId="99">
    <w:nsid w:val="53584BCB"/>
    <w:multiLevelType w:val="hybridMultilevel"/>
    <w:lvl w:ilvl="0">
      <w:lvlJc w:val="left"/>
      <w:lvlText w:val="(%1)"/>
      <w:numFmt w:val="lowerLetter"/>
      <w:start w:val="1"/>
    </w:lvl>
  </w:abstractNum>
  <w:abstractNum w:abstractNumId="100">
    <w:nsid w:val="415E286C"/>
    <w:multiLevelType w:val="hybridMultilevel"/>
    <w:lvl w:ilvl="0">
      <w:lvlJc w:val="left"/>
      <w:lvlText w:val="(%1)"/>
      <w:numFmt w:val="lowerLetter"/>
      <w:start w:val="2"/>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lowerLetter"/>
      <w:start w:val="1"/>
    </w:lvl>
    <w:lvl w:ilvl="1">
      <w:lvlJc w:val="left"/>
      <w:lvlText w:val="(%2)"/>
      <w:numFmt w:val="lowerRoman"/>
      <w:start w:val="1"/>
    </w:lvl>
  </w:abstractNum>
  <w:abstractNum w:abstractNumId="103">
    <w:nsid w:val="45E6D486"/>
    <w:multiLevelType w:val="hybridMultilevel"/>
    <w:lvl w:ilvl="0">
      <w:lvlJc w:val="left"/>
      <w:lvlText w:val="(%1)"/>
      <w:numFmt w:val="lowerLetter"/>
      <w:start w:val="3"/>
    </w:lvl>
    <w:lvl w:ilvl="1">
      <w:lvlJc w:val="left"/>
      <w:lvlText w:val="%2"/>
      <w:numFmt w:val="lowerRoman"/>
      <w:start w:val="1"/>
    </w:lvl>
  </w:abstractNum>
  <w:abstractNum w:abstractNumId="104">
    <w:nsid w:val="5C10FE21"/>
    <w:multiLevelType w:val="hybridMultilevel"/>
    <w:lvl w:ilvl="0">
      <w:lvlJc w:val="left"/>
      <w:lvlText w:val="(%1)"/>
      <w:numFmt w:val="lowerLetter"/>
      <w:start w:val="4"/>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4"/>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lowerLetter"/>
      <w:start w:val="6"/>
    </w:lvl>
  </w:abstractNum>
  <w:abstractNum w:abstractNumId="109">
    <w:nsid w:val="39B7AAA2"/>
    <w:multiLevelType w:val="hybridMultilevel"/>
    <w:lvl w:ilvl="0">
      <w:lvlJc w:val="left"/>
      <w:lvlText w:val="(%1)"/>
      <w:numFmt w:val="lowerLetter"/>
      <w:start w:val="1"/>
    </w:lvl>
  </w:abstractNum>
  <w:abstractNum w:abstractNumId="110">
    <w:nsid w:val="2B0D8DBE"/>
    <w:multiLevelType w:val="hybridMultilevel"/>
    <w:lvl w:ilvl="0">
      <w:lvlJc w:val="left"/>
      <w:lvlText w:val="(%1)"/>
      <w:numFmt w:val="lowerLetter"/>
      <w:start w:val="4"/>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1)"/>
      <w:numFmt w:val="lowerLetter"/>
      <w:start w:val="1"/>
    </w:lvl>
  </w:abstractNum>
  <w:abstractNum w:abstractNumId="113">
    <w:nsid w:val="69E373"/>
    <w:multiLevelType w:val="hybridMultilevel"/>
    <w:lvl w:ilvl="0">
      <w:lvlJc w:val="left"/>
      <w:lvlText w:val="(%1)"/>
      <w:numFmt w:val="lowerLetter"/>
      <w:start w:val="5"/>
    </w:lvl>
  </w:abstractNum>
  <w:abstractNum w:abstractNumId="114">
    <w:nsid w:val="2C27173B"/>
    <w:multiLevelType w:val="hybridMultilevel"/>
    <w:lvl w:ilvl="0">
      <w:lvlJc w:val="left"/>
      <w:lvlText w:val="(%1)"/>
      <w:numFmt w:val="lowerLetter"/>
      <w:start w:val="1"/>
    </w:lvl>
  </w:abstractNum>
  <w:abstractNum w:abstractNumId="115">
    <w:nsid w:val="4C9B0904"/>
    <w:multiLevelType w:val="hybridMultilevel"/>
    <w:lvl w:ilvl="0">
      <w:lvlJc w:val="left"/>
      <w:lvlText w:val="(%1)"/>
      <w:numFmt w:val="lowerLetter"/>
      <w:start w:val="3"/>
    </w:lvl>
  </w:abstractNum>
  <w:abstractNum w:abstractNumId="116">
    <w:nsid w:val="6AA7B75C"/>
    <w:multiLevelType w:val="hybridMultilevel"/>
    <w:lvl w:ilvl="0">
      <w:lvlJc w:val="left"/>
      <w:lvlText w:val="(%1)"/>
      <w:numFmt w:val="lowerLetter"/>
      <w:start w:val="1"/>
    </w:lvl>
  </w:abstractNum>
  <w:abstractNum w:abstractNumId="117">
    <w:nsid w:val="1DF029D3"/>
    <w:multiLevelType w:val="hybridMultilevel"/>
    <w:lvl w:ilvl="0">
      <w:lvlJc w:val="left"/>
      <w:lvlText w:val="(%1)"/>
      <w:numFmt w:val="lowerLetter"/>
      <w:start w:val="2"/>
    </w:lvl>
  </w:abstractNum>
  <w:abstractNum w:abstractNumId="118">
    <w:nsid w:val="5675FF36"/>
    <w:multiLevelType w:val="hybridMultilevel"/>
    <w:lvl w:ilvl="0">
      <w:lvlJc w:val="left"/>
      <w:lvlText w:val="•"/>
      <w:numFmt w:val="bullet"/>
      <w:start w:val="1"/>
    </w:lvl>
  </w:abstractNum>
  <w:abstractNum w:abstractNumId="119">
    <w:nsid w:val="3DD15094"/>
    <w:multiLevelType w:val="hybridMultilevel"/>
    <w:lvl w:ilvl="0">
      <w:lvlJc w:val="left"/>
      <w:lvlText w:val="%1."/>
      <w:numFmt w:val="decimal"/>
      <w:start w:val="1"/>
    </w:lvl>
  </w:abstractNum>
  <w:abstractNum w:abstractNumId="120">
    <w:nsid w:val="3DB012B3"/>
    <w:multiLevelType w:val="hybridMultilevel"/>
    <w:lvl w:ilvl="0">
      <w:lvlJc w:val="left"/>
      <w:lvlText w:val="%1."/>
      <w:numFmt w:val="decimal"/>
      <w:start w:val="2"/>
    </w:lvl>
  </w:abstractNum>
  <w:abstractNum w:abstractNumId="121">
    <w:nsid w:val="2708C9AF"/>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62" Type="http://schemas.openxmlformats.org/officeDocument/2006/relationships/hyperlink" Target="http://www.sec.gov/ix?doc=/Archives/edgar/data/1585521/000158552120000095/zm-20200131.htm" TargetMode="External"/><Relationship Id="rId63" Type="http://schemas.openxmlformats.org/officeDocument/2006/relationships/hyperlink" Target="http://www.sec.gov/Archives/edgar/data/1585521/000158552120000128/a2020proxy-zoomvideocommun.htm" TargetMode="External"/><Relationship Id="rId64" Type="http://schemas.openxmlformats.org/officeDocument/2006/relationships/hyperlink" Target="http://www.sec.gov/ix?doc=/Archives/edgar/data/1585521/000158552120000154/zm-20200430.htm" TargetMode="External"/><Relationship Id="rId65" Type="http://schemas.openxmlformats.org/officeDocument/2006/relationships/hyperlink" Target="http://www.sec.gov/ix?doc=/Archives/edgar/data/1585521/000158552120000238/zm-20200731.htm" TargetMode="External"/><Relationship Id="rId66" Type="http://schemas.openxmlformats.org/officeDocument/2006/relationships/hyperlink" Target="http://www.sec.gov/ix?doc=/Archives/edgar/data/1585521/000158552120000299/zm-20201031.htm" TargetMode="External"/><Relationship Id="rId67" Type="http://schemas.openxmlformats.org/officeDocument/2006/relationships/hyperlink" Target="http://www.sec.gov/Archives/edgar/data/1585521/000158552120000122/zm-20200506x8k.htm" TargetMode="External"/><Relationship Id="rId68" Type="http://schemas.openxmlformats.org/officeDocument/2006/relationships/hyperlink" Target="http://www.sec.gov/Archives/edgar/data/1585521/000158552120000151/zm-20200604x8k.htm" TargetMode="External"/><Relationship Id="rId69" Type="http://schemas.openxmlformats.org/officeDocument/2006/relationships/hyperlink" Target="http://www.sec.gov/Archives/edgar/data/1585521/000158552120000218/zm-20200604x8ka.htm" TargetMode="External"/><Relationship Id="rId70" Type="http://schemas.openxmlformats.org/officeDocument/2006/relationships/hyperlink" Target="http://www.sec.gov/Archives/edgar/data/1585521/000158552120000190/zm-20200623x8k.htm" TargetMode="External"/><Relationship Id="rId71" Type="http://schemas.openxmlformats.org/officeDocument/2006/relationships/hyperlink" Target="http://www.sec.gov/Archives/edgar/data/1585521/000158552120000233/zm-20200901x8k.htm" TargetMode="External"/><Relationship Id="rId72" Type="http://schemas.openxmlformats.org/officeDocument/2006/relationships/hyperlink" Target="http://www.sec.gov/Archives/edgar/data/1585521/000158552120000280/zm-20201102x8k.htm" TargetMode="External"/><Relationship Id="rId73" Type="http://schemas.openxmlformats.org/officeDocument/2006/relationships/hyperlink" Target="http://www.sec.gov/Archives/edgar/data/1585521/000158552120000307/a20201218_8k.htm" TargetMode="External"/><Relationship Id="rId74" Type="http://schemas.openxmlformats.org/officeDocument/2006/relationships/hyperlink" Target="http://www.sec.gov/Archives/edgar/data/1585521/000119312519099830/d730043d8a12b.htm" TargetMode="External"/><Relationship Id="rId77" Type="http://schemas.openxmlformats.org/officeDocument/2006/relationships/hyperlink" Target="http://www.sec.gov/Archives/edgar/data/1585521/000119312519115111/d736915dex31.htm" TargetMode="External"/><Relationship Id="rId78" Type="http://schemas.openxmlformats.org/officeDocument/2006/relationships/hyperlink" Target="http://www.sec.gov/Archives/edgar/data/1585521/000119312519099813/d642624dex34.htm" TargetMode="External"/><Relationship Id="rId79" Type="http://schemas.openxmlformats.org/officeDocument/2006/relationships/hyperlink" Target="http://www.sec.gov/Archives/edgar/data/1585521/000119312519099813/d642624dex41.htm" TargetMode="External"/><Relationship Id="rId80" Type="http://schemas.openxmlformats.org/officeDocument/2006/relationships/hyperlink" Target="http://www.sec.gov/Archives/edgar/data/1585521/000119312519083351/d64262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2021-01-12T05:12:50Z</dcterms:created>
  <dcterms:modified xsi:type="dcterms:W3CDTF">2021-01-12T05:12:50Z</dcterms:modified>
</cp:coreProperties>
</file>