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811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811645"/>
                    </a:xfrm>
                    <a:prstGeom prst="rect">
                      <a:avLst/>
                    </a:prstGeom>
                    <a:noFill/>
                  </pic:spPr>
                </pic:pic>
              </a:graphicData>
            </a:graphic>
          </wp:anchor>
        </w:drawing>
      </w:r>
    </w:p>
    <w:p>
      <w:pPr>
        <w:spacing w:after="0" w:line="101" w:lineRule="exact"/>
        <w:rPr>
          <w:sz w:val="24"/>
          <w:szCs w:val="24"/>
          <w:color w:val="auto"/>
        </w:rPr>
      </w:pPr>
    </w:p>
    <w:p>
      <w:pPr>
        <w:sectPr>
          <w:pgSz w:w="11900" w:h="16899"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04/07/2021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99"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320.95</w:t>
            </w:r>
            <w:r>
              <w:rPr>
                <w:rFonts w:ascii="Arial" w:cs="Arial" w:eastAsia="Arial" w:hAnsi="Arial"/>
                <w:sz w:val="22"/>
                <w:szCs w:val="22"/>
                <w:color w:val="008000"/>
                <w:w w:val="88"/>
                <w:vertAlign w:val="superscript"/>
              </w:rPr>
              <w:t>(2)</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47,667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1,402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321.9296</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46,265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1,493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322.9148</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44,772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323.7025</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43,972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324.702</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43,472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325.7</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43,372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519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327.2105</w:t>
            </w:r>
            <w:r>
              <w:rPr>
                <w:rFonts w:ascii="Arial" w:cs="Arial" w:eastAsia="Arial" w:hAnsi="Arial"/>
                <w:sz w:val="22"/>
                <w:szCs w:val="22"/>
                <w:color w:val="008000"/>
                <w:w w:val="87"/>
                <w:vertAlign w:val="superscript"/>
              </w:rPr>
              <w:t>(7)</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42,853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436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329.0511</w:t>
            </w:r>
            <w:r>
              <w:rPr>
                <w:rFonts w:ascii="Arial" w:cs="Arial" w:eastAsia="Arial" w:hAnsi="Arial"/>
                <w:sz w:val="22"/>
                <w:szCs w:val="22"/>
                <w:color w:val="008000"/>
                <w:w w:val="87"/>
                <w:vertAlign w:val="superscript"/>
              </w:rPr>
              <w:t>(8)</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42,417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330.035</w:t>
            </w:r>
            <w:r>
              <w:rPr>
                <w:rFonts w:ascii="Arial" w:cs="Arial" w:eastAsia="Arial" w:hAnsi="Arial"/>
                <w:sz w:val="22"/>
                <w:szCs w:val="22"/>
                <w:color w:val="008000"/>
                <w:w w:val="87"/>
                <w:vertAlign w:val="superscript"/>
              </w:rPr>
              <w:t>(9)</w:t>
            </w:r>
          </w:p>
        </w:tc>
        <w:tc>
          <w:tcPr>
            <w:tcW w:w="104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42,217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330.72</w:t>
            </w:r>
          </w:p>
        </w:tc>
        <w:tc>
          <w:tcPr>
            <w:tcW w:w="1040" w:type="dxa"/>
            <w:vAlign w:val="bottom"/>
            <w:tcBorders>
              <w:bottom w:val="single" w:sz="8" w:color="2C2C2C"/>
            </w:tcBorders>
          </w:tcPr>
          <w:p>
            <w:pPr>
              <w:jc w:val="right"/>
              <w:ind w:right="186"/>
              <w:spacing w:after="0"/>
              <w:rPr>
                <w:sz w:val="20"/>
                <w:szCs w:val="20"/>
                <w:color w:val="auto"/>
              </w:rPr>
            </w:pPr>
            <w:r>
              <w:rPr>
                <w:rFonts w:ascii="Arial" w:cs="Arial" w:eastAsia="Arial" w:hAnsi="Arial"/>
                <w:sz w:val="17"/>
                <w:szCs w:val="17"/>
                <w:color w:val="0000FF"/>
              </w:rPr>
              <w:t>42,117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$320.25 to $321.23.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$321.37 to $322.33.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$322.38 to $323.27.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$323.50 to $324.18.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$324.54 to $324.98.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$326.80 to $327.72.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$328.58 to $329.47.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$329.63 to $330.44. The Reporting Person undertakes to provide the</w:t>
      </w:r>
    </w:p>
    <w:p>
      <w:pPr>
        <w:sectPr>
          <w:pgSz w:w="11900" w:h="16899" w:orient="portrait"/>
          <w:cols w:equalWidth="0" w:num="1">
            <w:col w:w="11000"/>
          </w:cols>
          <w:pgMar w:left="460" w:top="225" w:right="43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3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2021-04-09T18:20:08Z</dcterms:created>
  <dcterms:modified xsi:type="dcterms:W3CDTF">2021-04-09T18:20:08Z</dcterms:modified>
</cp:coreProperties>
</file>