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10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Scheinman Daniel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00" w:type="dxa"/>
            <w:vAlign w:val="bottom"/>
            <w:tcBorders>
              <w:top w:val="single" w:sz="8" w:color="0000EE"/>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04/17/2019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Zoom Video Communications,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ZM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32"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194"/>
        <w:spacing w:after="0" w:line="268" w:lineRule="auto"/>
        <w:rPr>
          <w:sz w:val="20"/>
          <w:szCs w:val="20"/>
          <w:color w:val="auto"/>
        </w:rPr>
      </w:pPr>
      <w:r>
        <w:rPr>
          <w:rFonts w:ascii="Arial" w:cs="Arial" w:eastAsia="Arial" w:hAnsi="Arial"/>
          <w:sz w:val="18"/>
          <w:szCs w:val="18"/>
          <w:color w:val="0000FF"/>
        </w:rPr>
        <w:t>C/O ZOOM VIDEO COMMUNICATIONS, INC.</w:t>
      </w:r>
    </w:p>
    <w:p>
      <w:pPr>
        <w:spacing w:after="0" w:line="24" w:lineRule="exact"/>
        <w:rPr>
          <w:sz w:val="24"/>
          <w:szCs w:val="24"/>
          <w:color w:val="auto"/>
        </w:rPr>
      </w:pPr>
    </w:p>
    <w:p>
      <w:pPr>
        <w:ind w:left="120" w:right="1734"/>
        <w:spacing w:after="0" w:line="268" w:lineRule="auto"/>
        <w:rPr>
          <w:sz w:val="20"/>
          <w:szCs w:val="20"/>
          <w:color w:val="auto"/>
        </w:rPr>
      </w:pPr>
      <w:r>
        <w:rPr>
          <w:rFonts w:ascii="Arial" w:cs="Arial" w:eastAsia="Arial" w:hAnsi="Arial"/>
          <w:sz w:val="18"/>
          <w:szCs w:val="18"/>
          <w:color w:val="0000FF"/>
        </w:rPr>
        <w:t>55 ALMADEN BOULEVARD, 6TH FLOOR</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SAN JOSE   CA</w:t>
            </w:r>
          </w:p>
        </w:tc>
        <w:tc>
          <w:tcPr>
            <w:tcW w:w="840" w:type="dxa"/>
            <w:vAlign w:val="bottom"/>
          </w:tcPr>
          <w:p>
            <w:pPr>
              <w:jc w:val="right"/>
              <w:spacing w:after="0"/>
              <w:rPr>
                <w:sz w:val="20"/>
                <w:szCs w:val="20"/>
                <w:color w:val="auto"/>
              </w:rPr>
            </w:pPr>
            <w:r>
              <w:rPr>
                <w:rFonts w:ascii="Arial" w:cs="Arial" w:eastAsia="Arial" w:hAnsi="Arial"/>
                <w:sz w:val="18"/>
                <w:szCs w:val="18"/>
                <w:color w:val="0000FF"/>
              </w:rPr>
              <w:t>95113</w:t>
            </w:r>
          </w:p>
        </w:tc>
      </w:tr>
    </w:tbl>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92"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74"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4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8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00" w:type="dxa"/>
            <w:vAlign w:val="bottom"/>
            <w:vMerge w:val="continue"/>
          </w:tcPr>
          <w:p>
            <w:pPr>
              <w:spacing w:after="0"/>
              <w:rPr>
                <w:sz w:val="15"/>
                <w:szCs w:val="15"/>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B Common Stock</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20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Class A Common Stock</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489,412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 Convertible Preferred Stock</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20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Class B Common Stock</w:t>
            </w:r>
            <w:r>
              <w:rPr>
                <w:rFonts w:ascii="Arial" w:cs="Arial" w:eastAsia="Arial" w:hAnsi="Arial"/>
                <w:sz w:val="22"/>
                <w:szCs w:val="22"/>
                <w:color w:val="008000"/>
                <w:w w:val="87"/>
                <w:vertAlign w:val="superscript"/>
              </w:rPr>
              <w:t>(1)</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1,200,000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80" w:type="dxa"/>
            <w:vAlign w:val="bottom"/>
          </w:tcPr>
          <w:p>
            <w:pPr>
              <w:ind w:left="60"/>
              <w:spacing w:after="0"/>
              <w:rPr>
                <w:sz w:val="20"/>
                <w:szCs w:val="20"/>
                <w:color w:val="auto"/>
              </w:rPr>
            </w:pPr>
            <w:r>
              <w:rPr>
                <w:rFonts w:ascii="Arial" w:cs="Arial" w:eastAsia="Arial" w:hAnsi="Arial"/>
                <w:sz w:val="18"/>
                <w:szCs w:val="18"/>
                <w:color w:val="0000FF"/>
              </w:rPr>
              <w:t>Series A Convertible Preferred Stock</w:t>
            </w:r>
          </w:p>
        </w:tc>
        <w:tc>
          <w:tcPr>
            <w:tcW w:w="88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2000" w:type="dxa"/>
            <w:vAlign w:val="bottom"/>
          </w:tcPr>
          <w:p>
            <w:pPr>
              <w:jc w:val="center"/>
              <w:spacing w:after="0"/>
              <w:rPr>
                <w:sz w:val="20"/>
                <w:szCs w:val="20"/>
                <w:color w:val="auto"/>
              </w:rPr>
            </w:pPr>
            <w:r>
              <w:rPr>
                <w:rFonts w:ascii="Arial" w:cs="Arial" w:eastAsia="Arial" w:hAnsi="Arial"/>
                <w:sz w:val="18"/>
                <w:szCs w:val="18"/>
                <w:color w:val="0000FF"/>
                <w:w w:val="87"/>
              </w:rPr>
              <w:t>Class B Common Stock</w:t>
            </w:r>
            <w:r>
              <w:rPr>
                <w:rFonts w:ascii="Arial" w:cs="Arial" w:eastAsia="Arial" w:hAnsi="Arial"/>
                <w:sz w:val="22"/>
                <w:szCs w:val="22"/>
                <w:color w:val="008000"/>
                <w:w w:val="87"/>
                <w:vertAlign w:val="superscript"/>
              </w:rPr>
              <w:t>(1)</w:t>
            </w:r>
          </w:p>
        </w:tc>
        <w:tc>
          <w:tcPr>
            <w:tcW w:w="860" w:type="dxa"/>
            <w:vAlign w:val="bottom"/>
          </w:tcPr>
          <w:p>
            <w:pPr>
              <w:jc w:val="center"/>
              <w:spacing w:after="0"/>
              <w:rPr>
                <w:sz w:val="20"/>
                <w:szCs w:val="20"/>
                <w:color w:val="auto"/>
              </w:rPr>
            </w:pPr>
            <w:r>
              <w:rPr>
                <w:rFonts w:ascii="Arial" w:cs="Arial" w:eastAsia="Arial" w:hAnsi="Arial"/>
                <w:sz w:val="18"/>
                <w:szCs w:val="18"/>
                <w:color w:val="0000FF"/>
                <w:w w:val="87"/>
              </w:rPr>
              <w:t>1,056,960</w:t>
            </w:r>
          </w:p>
        </w:tc>
        <w:tc>
          <w:tcPr>
            <w:tcW w:w="880" w:type="dxa"/>
            <w:vAlign w:val="bottom"/>
          </w:tcPr>
          <w:p>
            <w:pPr>
              <w:jc w:val="center"/>
              <w:spacing w:after="0"/>
              <w:rPr>
                <w:sz w:val="20"/>
                <w:szCs w:val="20"/>
                <w:color w:val="auto"/>
              </w:rPr>
            </w:pPr>
            <w:r>
              <w:rPr>
                <w:rFonts w:ascii="Arial" w:cs="Arial" w:eastAsia="Arial" w:hAnsi="Arial"/>
                <w:sz w:val="18"/>
                <w:szCs w:val="18"/>
                <w:color w:val="0000FF"/>
                <w:w w:val="85"/>
              </w:rPr>
              <w:t>0.00</w:t>
            </w:r>
          </w:p>
        </w:tc>
        <w:tc>
          <w:tcPr>
            <w:tcW w:w="880" w:type="dxa"/>
            <w:vAlign w:val="bottom"/>
          </w:tcPr>
          <w:p>
            <w:pPr>
              <w:jc w:val="center"/>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480" w:type="dxa"/>
            <w:vAlign w:val="bottom"/>
            <w:tcBorders>
              <w:top w:val="single" w:sz="8" w:color="2C2C2C"/>
              <w:bottom w:val="single" w:sz="8" w:color="2C2C2C"/>
            </w:tcBorders>
          </w:tcPr>
          <w:p>
            <w:pPr>
              <w:ind w:left="60"/>
              <w:spacing w:after="0"/>
              <w:rPr>
                <w:sz w:val="20"/>
                <w:szCs w:val="20"/>
                <w:color w:val="auto"/>
              </w:rPr>
            </w:pPr>
            <w:r>
              <w:rPr>
                <w:rFonts w:ascii="Arial" w:cs="Arial" w:eastAsia="Arial" w:hAnsi="Arial"/>
                <w:sz w:val="18"/>
                <w:szCs w:val="18"/>
                <w:color w:val="0000FF"/>
              </w:rPr>
              <w:t>Director Stock Option (right to buy)</w:t>
            </w:r>
          </w:p>
        </w:tc>
        <w:tc>
          <w:tcPr>
            <w:tcW w:w="880" w:type="dxa"/>
            <w:vAlign w:val="bottom"/>
            <w:tcBorders>
              <w:top w:val="single" w:sz="8" w:color="2C2C2C"/>
              <w:bottom w:val="single" w:sz="8" w:color="2C2C2C"/>
            </w:tcBorders>
          </w:tcPr>
          <w:p>
            <w:pPr>
              <w:ind w:left="380"/>
              <w:spacing w:after="0"/>
              <w:rPr>
                <w:sz w:val="20"/>
                <w:szCs w:val="20"/>
                <w:color w:val="auto"/>
              </w:rPr>
            </w:pPr>
            <w:r>
              <w:rPr>
                <w:rFonts w:ascii="Arial" w:cs="Arial" w:eastAsia="Arial" w:hAnsi="Arial"/>
                <w:sz w:val="11"/>
                <w:szCs w:val="11"/>
                <w:color w:val="008000"/>
              </w:rPr>
              <w:t>(5)</w:t>
            </w:r>
          </w:p>
        </w:tc>
        <w:tc>
          <w:tcPr>
            <w:tcW w:w="8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4"/>
                <w:szCs w:val="14"/>
                <w:color w:val="0000FF"/>
                <w:w w:val="85"/>
              </w:rPr>
              <w:t>11/29/2028</w:t>
            </w:r>
          </w:p>
        </w:tc>
        <w:tc>
          <w:tcPr>
            <w:tcW w:w="20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87"/>
              </w:rPr>
              <w:t>Class B Common Stock</w:t>
            </w:r>
            <w:r>
              <w:rPr>
                <w:rFonts w:ascii="Arial" w:cs="Arial" w:eastAsia="Arial" w:hAnsi="Arial"/>
                <w:sz w:val="22"/>
                <w:szCs w:val="22"/>
                <w:color w:val="008000"/>
                <w:w w:val="87"/>
                <w:vertAlign w:val="superscript"/>
              </w:rPr>
              <w:t>(1)</w:t>
            </w:r>
          </w:p>
        </w:tc>
        <w:tc>
          <w:tcPr>
            <w:tcW w:w="86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89"/>
              </w:rPr>
              <w:t>100,000</w:t>
            </w:r>
          </w:p>
        </w:tc>
        <w:tc>
          <w:tcPr>
            <w:tcW w:w="8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84"/>
              </w:rPr>
              <w:t>10.79</w:t>
            </w:r>
          </w:p>
        </w:tc>
        <w:tc>
          <w:tcPr>
            <w:tcW w:w="8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16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60" w:firstLine="9"/>
        <w:spacing w:after="0" w:line="273"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11"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are held of record by The 2017 Scheinman Irrevocable Trust, for which the Reporting Person serves as trustee.</w:t>
      </w:r>
    </w:p>
    <w:p>
      <w:pPr>
        <w:spacing w:after="0" w:line="41"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share of preferred stock is convertible into one share of Class B Common Stock and has no expiration date. Immediately prior to the consummation of the Issuer's IPO, all shares of preferred stock will automatically convert into shares of Class B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are held of record by Dan &amp; Zoe Scheinman Trust Dated 2/23/01, for which the Reporting Person serves as trustee.</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1/48 of the shares subject to the option vests in equal monthly installments commencing one month from November 29, 2018. The shares subject to this option are early exercisable, subject to the Issuer's right to repurchase.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Aparna Bawa,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04/17/2019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4"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Know all persons by these presents that the undersigned hereby constitutes and appoints each of Aparna Bawa, Tiffany Hui, Jon Avina, and Calise Cheng, signing individually, the undersigned's true and lawful attorneys-in fact and agents to:</w:t>
      </w:r>
    </w:p>
    <w:p>
      <w:pPr>
        <w:spacing w:after="0" w:line="178" w:lineRule="exact"/>
        <w:rPr>
          <w:sz w:val="20"/>
          <w:szCs w:val="20"/>
          <w:color w:val="auto"/>
        </w:rPr>
      </w:pPr>
    </w:p>
    <w:p>
      <w:pPr>
        <w:ind w:right="145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more than 10% stockholder of Zoom Video Communications,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right="15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211" w:lineRule="exact"/>
        <w:rPr>
          <w:sz w:val="20"/>
          <w:szCs w:val="20"/>
          <w:color w:val="auto"/>
        </w:rPr>
      </w:pPr>
    </w:p>
    <w:p>
      <w:pPr>
        <w:ind w:right="157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4th day of April, 2019.</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Daniel Scheinman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Scheinman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05698" TargetMode="External"/><Relationship Id="rId12"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2019-12-24T04:24:46Z</dcterms:created>
  <dcterms:modified xsi:type="dcterms:W3CDTF">2019-12-24T04:24:46Z</dcterms:modified>
</cp:coreProperties>
</file>