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As filed with the U.S. Securities and Exchange Commission on March 7, 2022</w:t>
      </w:r>
    </w:p>
    <w:p>
      <w:pPr>
        <w:spacing w:after="0" w:line="139" w:lineRule="exact"/>
        <w:rPr>
          <w:sz w:val="24"/>
          <w:szCs w:val="24"/>
          <w:color w:val="auto"/>
        </w:rPr>
      </w:pPr>
    </w:p>
    <w:p>
      <w:pPr>
        <w:ind w:left="8720"/>
        <w:spacing w:after="0"/>
        <w:rPr>
          <w:sz w:val="20"/>
          <w:szCs w:val="20"/>
          <w:color w:val="auto"/>
        </w:rPr>
      </w:pPr>
      <w:r>
        <w:rPr>
          <w:rFonts w:ascii="Arial" w:cs="Arial" w:eastAsia="Arial" w:hAnsi="Arial"/>
          <w:sz w:val="13"/>
          <w:szCs w:val="13"/>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590550</wp:posOffset>
            </wp:positionH>
            <wp:positionV relativeFrom="paragraph">
              <wp:posOffset>84455</wp:posOffset>
            </wp:positionV>
            <wp:extent cx="596963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635" cy="8255"/>
                    </a:xfrm>
                    <a:prstGeom prst="rect">
                      <a:avLst/>
                    </a:prstGeom>
                    <a:noFill/>
                  </pic:spPr>
                </pic:pic>
              </a:graphicData>
            </a:graphic>
          </wp:anchor>
        </w:drawing>
        <w:drawing>
          <wp:anchor simplePos="0" relativeHeight="251657728" behindDoc="1" locked="0" layoutInCell="0" allowOverlap="1">
            <wp:simplePos x="0" y="0"/>
            <wp:positionH relativeFrom="column">
              <wp:posOffset>590550</wp:posOffset>
            </wp:positionH>
            <wp:positionV relativeFrom="paragraph">
              <wp:posOffset>109220</wp:posOffset>
            </wp:positionV>
            <wp:extent cx="59696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635" cy="8255"/>
                    </a:xfrm>
                    <a:prstGeom prst="rect">
                      <a:avLst/>
                    </a:prstGeom>
                    <a:noFill/>
                  </pic:spPr>
                </pic:pic>
              </a:graphicData>
            </a:graphic>
          </wp:anchor>
        </w:drawing>
      </w:r>
    </w:p>
    <w:p>
      <w:pPr>
        <w:spacing w:after="0" w:line="200" w:lineRule="exact"/>
        <w:rPr>
          <w:sz w:val="24"/>
          <w:szCs w:val="24"/>
          <w:color w:val="auto"/>
        </w:rPr>
      </w:pPr>
    </w:p>
    <w:p>
      <w:pPr>
        <w:spacing w:after="0" w:line="381"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UNITED STATES</w:t>
      </w:r>
    </w:p>
    <w:p>
      <w:pPr>
        <w:spacing w:after="0" w:line="41"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SECURITIES AND EXCHANGE COMMISSION</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21"/>
          <w:szCs w:val="21"/>
          <w:color w:val="auto"/>
        </w:rPr>
        <w:t>Washington, D.C. 20549</w:t>
      </w:r>
    </w:p>
    <w:p>
      <w:pPr>
        <w:spacing w:after="0" w:line="217" w:lineRule="exact"/>
        <w:rPr>
          <w:sz w:val="24"/>
          <w:szCs w:val="24"/>
          <w:color w:val="auto"/>
        </w:rPr>
      </w:pPr>
    </w:p>
    <w:p>
      <w:pPr>
        <w:jc w:val="center"/>
        <w:ind w:right="-59"/>
        <w:spacing w:after="0"/>
        <w:rPr>
          <w:sz w:val="20"/>
          <w:szCs w:val="20"/>
          <w:color w:val="auto"/>
        </w:rPr>
      </w:pPr>
      <w:r>
        <w:rPr>
          <w:rFonts w:ascii="Arial" w:cs="Arial" w:eastAsia="Arial" w:hAnsi="Arial"/>
          <w:sz w:val="26"/>
          <w:szCs w:val="26"/>
          <w:b w:val="1"/>
          <w:bCs w:val="1"/>
          <w:color w:val="auto"/>
        </w:rPr>
        <w:t>FORM S-8</w:t>
      </w:r>
    </w:p>
    <w:p>
      <w:pPr>
        <w:spacing w:after="0" w:line="36" w:lineRule="exact"/>
        <w:rPr>
          <w:sz w:val="24"/>
          <w:szCs w:val="24"/>
          <w:color w:val="auto"/>
        </w:rPr>
      </w:pPr>
    </w:p>
    <w:p>
      <w:pPr>
        <w:jc w:val="center"/>
        <w:ind w:right="-59"/>
        <w:spacing w:after="0"/>
        <w:rPr>
          <w:sz w:val="20"/>
          <w:szCs w:val="20"/>
          <w:color w:val="auto"/>
        </w:rPr>
      </w:pPr>
      <w:r>
        <w:rPr>
          <w:rFonts w:ascii="Arial" w:cs="Arial" w:eastAsia="Arial" w:hAnsi="Arial"/>
          <w:sz w:val="21"/>
          <w:szCs w:val="21"/>
          <w:b w:val="1"/>
          <w:bCs w:val="1"/>
          <w:color w:val="auto"/>
        </w:rPr>
        <w:t>REGISTRATION STATEMENT</w:t>
      </w:r>
    </w:p>
    <w:p>
      <w:pPr>
        <w:jc w:val="center"/>
        <w:ind w:right="-59"/>
        <w:spacing w:after="0"/>
        <w:rPr>
          <w:sz w:val="20"/>
          <w:szCs w:val="20"/>
          <w:color w:val="auto"/>
        </w:rPr>
      </w:pPr>
      <w:r>
        <w:rPr>
          <w:rFonts w:ascii="Arial" w:cs="Arial" w:eastAsia="Arial" w:hAnsi="Arial"/>
          <w:sz w:val="17"/>
          <w:szCs w:val="17"/>
          <w:i w:val="1"/>
          <w:iCs w:val="1"/>
          <w:color w:val="auto"/>
        </w:rPr>
        <w:t>UNDER</w:t>
      </w:r>
    </w:p>
    <w:p>
      <w:pPr>
        <w:spacing w:after="0" w:line="11" w:lineRule="exact"/>
        <w:rPr>
          <w:sz w:val="24"/>
          <w:szCs w:val="24"/>
          <w:color w:val="auto"/>
        </w:rPr>
      </w:pPr>
    </w:p>
    <w:p>
      <w:pPr>
        <w:jc w:val="center"/>
        <w:ind w:right="-59"/>
        <w:spacing w:after="0"/>
        <w:rPr>
          <w:sz w:val="20"/>
          <w:szCs w:val="20"/>
          <w:color w:val="auto"/>
        </w:rPr>
      </w:pPr>
      <w:r>
        <w:rPr>
          <w:rFonts w:ascii="Arial" w:cs="Arial" w:eastAsia="Arial" w:hAnsi="Arial"/>
          <w:sz w:val="17"/>
          <w:szCs w:val="17"/>
          <w:i w:val="1"/>
          <w:iCs w:val="1"/>
          <w:color w:val="auto"/>
        </w:rPr>
        <w:t>THE SECURITIES ACT OF 1933</w:t>
      </w:r>
    </w:p>
    <w:p>
      <w:pPr>
        <w:spacing w:after="0" w:line="89" w:lineRule="exact"/>
        <w:rPr>
          <w:sz w:val="24"/>
          <w:szCs w:val="24"/>
          <w:color w:val="auto"/>
        </w:rPr>
      </w:pPr>
    </w:p>
    <w:p>
      <w:pPr>
        <w:jc w:val="center"/>
        <w:ind w:right="-59"/>
        <w:spacing w:after="0"/>
        <w:rPr>
          <w:sz w:val="20"/>
          <w:szCs w:val="20"/>
          <w:color w:val="auto"/>
        </w:rPr>
      </w:pPr>
      <w:r>
        <w:rPr>
          <w:rFonts w:ascii="Arial" w:cs="Arial" w:eastAsia="Arial" w:hAnsi="Arial"/>
          <w:sz w:val="37"/>
          <w:szCs w:val="37"/>
          <w:b w:val="1"/>
          <w:bCs w:val="1"/>
          <w:color w:val="auto"/>
        </w:rPr>
        <w:t>Zoom Video Communications, Inc.</w:t>
      </w:r>
    </w:p>
    <w:p>
      <w:pPr>
        <w:spacing w:after="0" w:line="92"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180"/>
          </w:cols>
          <w:pgMar w:left="320" w:top="1440" w:right="399" w:bottom="1440" w:gutter="0" w:footer="0" w:header="0"/>
        </w:sectPr>
      </w:pPr>
    </w:p>
    <w:p>
      <w:pPr>
        <w:spacing w:after="0" w:line="27" w:lineRule="exact"/>
        <w:rPr>
          <w:sz w:val="24"/>
          <w:szCs w:val="24"/>
          <w:color w:val="auto"/>
        </w:rPr>
      </w:pPr>
    </w:p>
    <w:p>
      <w:pPr>
        <w:ind w:left="2580"/>
        <w:spacing w:after="0"/>
        <w:rPr>
          <w:sz w:val="20"/>
          <w:szCs w:val="20"/>
          <w:color w:val="auto"/>
        </w:rPr>
      </w:pPr>
      <w:r>
        <w:rPr>
          <w:rFonts w:ascii="Arial" w:cs="Arial" w:eastAsia="Arial" w:hAnsi="Arial"/>
          <w:sz w:val="13"/>
          <w:szCs w:val="13"/>
          <w:b w:val="1"/>
          <w:bCs w:val="1"/>
          <w:color w:val="auto"/>
        </w:rPr>
        <w:t>Delaware</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61-1648780</w:t>
      </w:r>
    </w:p>
    <w:p>
      <w:pPr>
        <w:spacing w:after="0" w:line="89" w:lineRule="exact"/>
        <w:rPr>
          <w:sz w:val="24"/>
          <w:szCs w:val="24"/>
          <w:color w:val="auto"/>
        </w:rPr>
      </w:pPr>
    </w:p>
    <w:p>
      <w:pPr>
        <w:sectPr>
          <w:pgSz w:w="11900" w:h="16838" w:orient="portrait"/>
          <w:cols w:equalWidth="0" w:num="2">
            <w:col w:w="8060" w:space="720"/>
            <w:col w:w="2400"/>
          </w:cols>
          <w:pgMar w:left="320" w:top="1440" w:right="399" w:bottom="1440" w:gutter="0" w:footer="0" w:header="0"/>
          <w:type w:val="continuous"/>
        </w:sectPr>
      </w:pPr>
    </w:p>
    <w:p>
      <w:pPr>
        <w:ind w:left="1040"/>
        <w:spacing w:after="0"/>
        <w:rPr>
          <w:sz w:val="20"/>
          <w:szCs w:val="20"/>
          <w:color w:val="auto"/>
        </w:rPr>
      </w:pPr>
      <w:r>
        <w:rPr>
          <w:rFonts w:ascii="Arial" w:cs="Arial" w:eastAsia="Arial" w:hAnsi="Arial"/>
          <w:sz w:val="13"/>
          <w:szCs w:val="13"/>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 Identification No.)</w:t>
      </w:r>
    </w:p>
    <w:p>
      <w:pPr>
        <w:spacing w:after="0" w:line="200" w:lineRule="exact"/>
        <w:rPr>
          <w:sz w:val="24"/>
          <w:szCs w:val="24"/>
          <w:color w:val="auto"/>
        </w:rPr>
      </w:pPr>
    </w:p>
    <w:p>
      <w:pPr>
        <w:sectPr>
          <w:pgSz w:w="11900" w:h="16838" w:orient="portrait"/>
          <w:cols w:equalWidth="0" w:num="2">
            <w:col w:w="7300" w:space="720"/>
            <w:col w:w="3160"/>
          </w:cols>
          <w:pgMar w:left="320" w:top="1440" w:right="399" w:bottom="1440" w:gutter="0" w:footer="0" w:header="0"/>
          <w:type w:val="continuous"/>
        </w:sectPr>
      </w:pPr>
    </w:p>
    <w:p>
      <w:pPr>
        <w:spacing w:after="0" w:line="16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jc w:val="center"/>
        <w:ind w:right="-79"/>
        <w:spacing w:after="0" w:line="238" w:lineRule="auto"/>
        <w:rPr>
          <w:sz w:val="20"/>
          <w:szCs w:val="20"/>
          <w:color w:val="auto"/>
        </w:rPr>
      </w:pPr>
      <w:r>
        <w:rPr>
          <w:rFonts w:ascii="Arial" w:cs="Arial" w:eastAsia="Arial" w:hAnsi="Arial"/>
          <w:sz w:val="16"/>
          <w:szCs w:val="16"/>
          <w:b w:val="1"/>
          <w:bCs w:val="1"/>
          <w:color w:val="auto"/>
        </w:rPr>
        <w:t>San Jose, California 95113</w:t>
      </w:r>
    </w:p>
    <w:p>
      <w:pPr>
        <w:jc w:val="center"/>
        <w:ind w:right="-79"/>
        <w:spacing w:after="0" w:line="224" w:lineRule="auto"/>
        <w:rPr>
          <w:sz w:val="20"/>
          <w:szCs w:val="20"/>
          <w:color w:val="auto"/>
        </w:rPr>
      </w:pPr>
      <w:r>
        <w:rPr>
          <w:rFonts w:ascii="Arial" w:cs="Arial" w:eastAsia="Arial" w:hAnsi="Arial"/>
          <w:sz w:val="16"/>
          <w:szCs w:val="16"/>
          <w:b w:val="1"/>
          <w:bCs w:val="1"/>
          <w:color w:val="auto"/>
        </w:rPr>
        <w:t>(888) 799-9666</w:t>
      </w:r>
    </w:p>
    <w:p>
      <w:pPr>
        <w:jc w:val="center"/>
        <w:ind w:right="-79"/>
        <w:spacing w:after="0"/>
        <w:rPr>
          <w:sz w:val="20"/>
          <w:szCs w:val="20"/>
          <w:color w:val="auto"/>
        </w:rPr>
      </w:pPr>
      <w:r>
        <w:rPr>
          <w:rFonts w:ascii="Arial" w:cs="Arial" w:eastAsia="Arial" w:hAnsi="Arial"/>
          <w:sz w:val="14"/>
          <w:szCs w:val="14"/>
          <w:color w:val="auto"/>
        </w:rPr>
        <w:t>(Address of principal executive offices) (Zip code)</w:t>
      </w:r>
    </w:p>
    <w:p>
      <w:pPr>
        <w:spacing w:after="0" w:line="22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Zoom Video Communications, Inc. 2019 Equity Incentive Plan</w:t>
      </w:r>
    </w:p>
    <w:p>
      <w:pPr>
        <w:spacing w:after="0" w:line="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Zoom Video Communications, Inc. 2019 Employee Stock Purchase Plan</w:t>
      </w:r>
    </w:p>
    <w:p>
      <w:pPr>
        <w:jc w:val="center"/>
        <w:ind w:right="-79"/>
        <w:spacing w:after="0"/>
        <w:rPr>
          <w:sz w:val="20"/>
          <w:szCs w:val="20"/>
          <w:color w:val="auto"/>
        </w:rPr>
      </w:pPr>
      <w:r>
        <w:rPr>
          <w:rFonts w:ascii="Arial" w:cs="Arial" w:eastAsia="Arial" w:hAnsi="Arial"/>
          <w:sz w:val="14"/>
          <w:szCs w:val="14"/>
          <w:color w:val="auto"/>
        </w:rPr>
        <w:t>(Full titles of the plans)</w:t>
      </w:r>
    </w:p>
    <w:p>
      <w:pPr>
        <w:spacing w:after="0" w:line="3" w:lineRule="exact"/>
        <w:rPr>
          <w:sz w:val="24"/>
          <w:szCs w:val="24"/>
          <w:color w:val="auto"/>
        </w:rPr>
      </w:pPr>
    </w:p>
    <w:p>
      <w:pPr>
        <w:ind w:left="4020"/>
        <w:spacing w:after="0"/>
        <w:rPr>
          <w:sz w:val="20"/>
          <w:szCs w:val="20"/>
          <w:color w:val="auto"/>
        </w:rPr>
      </w:pPr>
      <w:r>
        <w:rPr>
          <w:rFonts w:ascii="Arial" w:cs="Arial" w:eastAsia="Arial" w:hAnsi="Arial"/>
          <w:sz w:val="17"/>
          <w:szCs w:val="17"/>
          <w:color w:val="auto"/>
        </w:rPr>
        <w:t>_____________________________________</w:t>
      </w:r>
    </w:p>
    <w:p>
      <w:pPr>
        <w:spacing w:after="0" w:line="233"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Eric S. Yuan</w:t>
      </w:r>
    </w:p>
    <w:p>
      <w:pPr>
        <w:spacing w:after="0" w:line="15" w:lineRule="exact"/>
        <w:rPr>
          <w:sz w:val="24"/>
          <w:szCs w:val="24"/>
          <w:color w:val="auto"/>
        </w:rPr>
      </w:pPr>
    </w:p>
    <w:p>
      <w:pPr>
        <w:jc w:val="center"/>
        <w:ind w:right="-79"/>
        <w:spacing w:after="0"/>
        <w:rPr>
          <w:sz w:val="20"/>
          <w:szCs w:val="20"/>
          <w:color w:val="auto"/>
        </w:rPr>
      </w:pPr>
      <w:r>
        <w:rPr>
          <w:rFonts w:ascii="Arial" w:cs="Arial" w:eastAsia="Arial" w:hAnsi="Arial"/>
          <w:sz w:val="16"/>
          <w:szCs w:val="16"/>
          <w:b w:val="1"/>
          <w:bCs w:val="1"/>
          <w:color w:val="auto"/>
        </w:rPr>
        <w:t>President and Chief Executive Officer</w:t>
      </w:r>
    </w:p>
    <w:p>
      <w:pPr>
        <w:jc w:val="center"/>
        <w:ind w:right="-79"/>
        <w:spacing w:after="0" w:line="216" w:lineRule="auto"/>
        <w:rPr>
          <w:sz w:val="20"/>
          <w:szCs w:val="20"/>
          <w:color w:val="auto"/>
        </w:rPr>
      </w:pPr>
      <w:r>
        <w:rPr>
          <w:rFonts w:ascii="Arial" w:cs="Arial" w:eastAsia="Arial" w:hAnsi="Arial"/>
          <w:sz w:val="16"/>
          <w:szCs w:val="16"/>
          <w:b w:val="1"/>
          <w:bCs w:val="1"/>
          <w:color w:val="auto"/>
        </w:rPr>
        <w:t>Zoom Video Communications, Inc.</w:t>
      </w:r>
    </w:p>
    <w:p>
      <w:pPr>
        <w:jc w:val="center"/>
        <w:ind w:right="-79"/>
        <w:spacing w:after="0" w:line="208" w:lineRule="auto"/>
        <w:rPr>
          <w:sz w:val="20"/>
          <w:szCs w:val="20"/>
          <w:color w:val="auto"/>
        </w:rPr>
      </w:pPr>
      <w:r>
        <w:rPr>
          <w:rFonts w:ascii="Arial" w:cs="Arial" w:eastAsia="Arial" w:hAnsi="Arial"/>
          <w:sz w:val="16"/>
          <w:szCs w:val="16"/>
          <w:b w:val="1"/>
          <w:bCs w:val="1"/>
          <w:color w:val="auto"/>
        </w:rPr>
        <w:t>55 Almaden Blvd, 6</w:t>
      </w:r>
      <w:r>
        <w:rPr>
          <w:rFonts w:ascii="Arial" w:cs="Arial" w:eastAsia="Arial" w:hAnsi="Arial"/>
          <w:sz w:val="20"/>
          <w:szCs w:val="20"/>
          <w:b w:val="1"/>
          <w:bCs w:val="1"/>
          <w:color w:val="auto"/>
          <w:vertAlign w:val="superscript"/>
        </w:rPr>
        <w:t>th</w:t>
      </w:r>
      <w:r>
        <w:rPr>
          <w:rFonts w:ascii="Arial" w:cs="Arial" w:eastAsia="Arial" w:hAnsi="Arial"/>
          <w:sz w:val="16"/>
          <w:szCs w:val="16"/>
          <w:b w:val="1"/>
          <w:bCs w:val="1"/>
          <w:color w:val="auto"/>
        </w:rPr>
        <w:t xml:space="preserve"> Floor</w:t>
      </w:r>
    </w:p>
    <w:p>
      <w:pPr>
        <w:jc w:val="center"/>
        <w:ind w:right="-79"/>
        <w:spacing w:after="0" w:line="238" w:lineRule="auto"/>
        <w:rPr>
          <w:sz w:val="20"/>
          <w:szCs w:val="20"/>
          <w:color w:val="auto"/>
        </w:rPr>
      </w:pPr>
      <w:r>
        <w:rPr>
          <w:rFonts w:ascii="Arial" w:cs="Arial" w:eastAsia="Arial" w:hAnsi="Arial"/>
          <w:sz w:val="16"/>
          <w:szCs w:val="16"/>
          <w:b w:val="1"/>
          <w:bCs w:val="1"/>
          <w:color w:val="auto"/>
        </w:rPr>
        <w:t>San Jose, California 95113</w:t>
      </w:r>
    </w:p>
    <w:p>
      <w:pPr>
        <w:jc w:val="center"/>
        <w:ind w:right="-79"/>
        <w:spacing w:after="0" w:line="224" w:lineRule="auto"/>
        <w:rPr>
          <w:sz w:val="20"/>
          <w:szCs w:val="20"/>
          <w:color w:val="auto"/>
        </w:rPr>
      </w:pPr>
      <w:r>
        <w:rPr>
          <w:rFonts w:ascii="Arial" w:cs="Arial" w:eastAsia="Arial" w:hAnsi="Arial"/>
          <w:sz w:val="16"/>
          <w:szCs w:val="16"/>
          <w:b w:val="1"/>
          <w:bCs w:val="1"/>
          <w:color w:val="auto"/>
        </w:rPr>
        <w:t>(888) 799-9666</w:t>
      </w:r>
    </w:p>
    <w:p>
      <w:pPr>
        <w:spacing w:after="0" w:line="1" w:lineRule="exact"/>
        <w:rPr>
          <w:sz w:val="24"/>
          <w:szCs w:val="24"/>
          <w:color w:val="auto"/>
        </w:rPr>
      </w:pPr>
    </w:p>
    <w:p>
      <w:pPr>
        <w:jc w:val="center"/>
        <w:ind w:right="-79"/>
        <w:spacing w:after="0"/>
        <w:rPr>
          <w:sz w:val="20"/>
          <w:szCs w:val="20"/>
          <w:color w:val="auto"/>
        </w:rPr>
      </w:pPr>
      <w:r>
        <w:rPr>
          <w:rFonts w:ascii="Arial" w:cs="Arial" w:eastAsia="Arial" w:hAnsi="Arial"/>
          <w:sz w:val="14"/>
          <w:szCs w:val="14"/>
          <w:color w:val="auto"/>
        </w:rPr>
        <w:t>(Name and address of agent for service) (Telephone number, including area code, of agent for service)</w:t>
      </w:r>
    </w:p>
    <w:p>
      <w:pPr>
        <w:spacing w:after="0" w:line="227" w:lineRule="exact"/>
        <w:rPr>
          <w:sz w:val="24"/>
          <w:szCs w:val="24"/>
          <w:color w:val="auto"/>
        </w:rPr>
      </w:pPr>
    </w:p>
    <w:tbl>
      <w:tblPr>
        <w:tblLayout w:type="fixed"/>
        <w:tblInd w:w="1600" w:type="dxa"/>
        <w:tblCellMar>
          <w:top w:w="0" w:type="dxa"/>
          <w:left w:w="0" w:type="dxa"/>
          <w:bottom w:w="0" w:type="dxa"/>
          <w:right w:w="0" w:type="dxa"/>
        </w:tblCellMar>
      </w:tblPr>
      <w:tr>
        <w:trPr>
          <w:trHeight w:val="199"/>
        </w:trPr>
        <w:tc>
          <w:tcPr>
            <w:tcW w:w="2760" w:type="dxa"/>
            <w:vAlign w:val="bottom"/>
          </w:tcPr>
          <w:p>
            <w:pPr>
              <w:spacing w:after="0"/>
              <w:rPr>
                <w:sz w:val="17"/>
                <w:szCs w:val="17"/>
                <w:color w:val="auto"/>
              </w:rPr>
            </w:pPr>
          </w:p>
        </w:tc>
        <w:tc>
          <w:tcPr>
            <w:tcW w:w="5080" w:type="dxa"/>
            <w:vAlign w:val="bottom"/>
          </w:tcPr>
          <w:p>
            <w:pPr>
              <w:ind w:left="940"/>
              <w:spacing w:after="0"/>
              <w:rPr>
                <w:sz w:val="20"/>
                <w:szCs w:val="20"/>
                <w:color w:val="auto"/>
              </w:rPr>
            </w:pPr>
            <w:r>
              <w:rPr>
                <w:rFonts w:ascii="Arial" w:cs="Arial" w:eastAsia="Arial" w:hAnsi="Arial"/>
                <w:sz w:val="16"/>
                <w:szCs w:val="16"/>
                <w:b w:val="1"/>
                <w:bCs w:val="1"/>
                <w:i w:val="1"/>
                <w:iCs w:val="1"/>
                <w:color w:val="auto"/>
              </w:rPr>
              <w:t>Copies to:</w:t>
            </w:r>
          </w:p>
        </w:tc>
      </w:tr>
      <w:tr>
        <w:trPr>
          <w:trHeight w:val="214"/>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88"/>
              </w:rPr>
              <w:t>Jon C. Avina</w:t>
            </w:r>
          </w:p>
        </w:tc>
        <w:tc>
          <w:tcPr>
            <w:tcW w:w="5080" w:type="dxa"/>
            <w:vAlign w:val="bottom"/>
          </w:tcPr>
          <w:p>
            <w:pPr>
              <w:jc w:val="center"/>
              <w:ind w:left="3222"/>
              <w:spacing w:after="0"/>
              <w:rPr>
                <w:sz w:val="20"/>
                <w:szCs w:val="20"/>
                <w:color w:val="auto"/>
              </w:rPr>
            </w:pPr>
            <w:r>
              <w:rPr>
                <w:rFonts w:ascii="Arial" w:cs="Arial" w:eastAsia="Arial" w:hAnsi="Arial"/>
                <w:sz w:val="16"/>
                <w:szCs w:val="16"/>
                <w:b w:val="1"/>
                <w:bCs w:val="1"/>
                <w:color w:val="auto"/>
                <w:w w:val="91"/>
              </w:rPr>
              <w:t>Jeffrey C. True</w:t>
            </w:r>
          </w:p>
        </w:tc>
      </w:tr>
      <w:tr>
        <w:trPr>
          <w:trHeight w:val="174"/>
        </w:trPr>
        <w:tc>
          <w:tcPr>
            <w:tcW w:w="2760" w:type="dxa"/>
            <w:vAlign w:val="bottom"/>
          </w:tcPr>
          <w:p>
            <w:pPr>
              <w:jc w:val="center"/>
              <w:ind w:right="862"/>
              <w:spacing w:after="0" w:line="175" w:lineRule="exact"/>
              <w:rPr>
                <w:sz w:val="20"/>
                <w:szCs w:val="20"/>
                <w:color w:val="auto"/>
              </w:rPr>
            </w:pPr>
            <w:r>
              <w:rPr>
                <w:rFonts w:ascii="Arial" w:cs="Arial" w:eastAsia="Arial" w:hAnsi="Arial"/>
                <w:sz w:val="16"/>
                <w:szCs w:val="16"/>
                <w:b w:val="1"/>
                <w:bCs w:val="1"/>
                <w:color w:val="auto"/>
                <w:w w:val="87"/>
              </w:rPr>
              <w:t>Calise Y. Cheng</w:t>
            </w:r>
          </w:p>
        </w:tc>
        <w:tc>
          <w:tcPr>
            <w:tcW w:w="5080" w:type="dxa"/>
            <w:vAlign w:val="bottom"/>
          </w:tcPr>
          <w:p>
            <w:pPr>
              <w:jc w:val="center"/>
              <w:ind w:left="3202"/>
              <w:spacing w:after="0" w:line="175" w:lineRule="exact"/>
              <w:rPr>
                <w:sz w:val="20"/>
                <w:szCs w:val="20"/>
                <w:color w:val="auto"/>
              </w:rPr>
            </w:pPr>
            <w:r>
              <w:rPr>
                <w:rFonts w:ascii="Arial" w:cs="Arial" w:eastAsia="Arial" w:hAnsi="Arial"/>
                <w:sz w:val="16"/>
                <w:szCs w:val="16"/>
                <w:b w:val="1"/>
                <w:bCs w:val="1"/>
                <w:color w:val="auto"/>
                <w:w w:val="88"/>
              </w:rPr>
              <w:t>General Counsel</w:t>
            </w:r>
          </w:p>
        </w:tc>
      </w:tr>
      <w:tr>
        <w:trPr>
          <w:trHeight w:val="191"/>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88"/>
              </w:rPr>
              <w:t>Alex K. Kassai</w:t>
            </w:r>
          </w:p>
        </w:tc>
        <w:tc>
          <w:tcPr>
            <w:tcW w:w="5080" w:type="dxa"/>
            <w:vAlign w:val="bottom"/>
          </w:tcPr>
          <w:p>
            <w:pPr>
              <w:jc w:val="center"/>
              <w:ind w:left="3202"/>
              <w:spacing w:after="0" w:line="191" w:lineRule="exact"/>
              <w:rPr>
                <w:sz w:val="20"/>
                <w:szCs w:val="20"/>
                <w:color w:val="auto"/>
              </w:rPr>
            </w:pPr>
            <w:r>
              <w:rPr>
                <w:rFonts w:ascii="Arial" w:cs="Arial" w:eastAsia="Arial" w:hAnsi="Arial"/>
                <w:sz w:val="16"/>
                <w:szCs w:val="16"/>
                <w:b w:val="1"/>
                <w:bCs w:val="1"/>
                <w:color w:val="auto"/>
                <w:w w:val="88"/>
              </w:rPr>
              <w:t>55 Almaden Blvd, 6</w:t>
            </w:r>
            <w:r>
              <w:rPr>
                <w:rFonts w:ascii="Arial" w:cs="Arial" w:eastAsia="Arial" w:hAnsi="Arial"/>
                <w:sz w:val="20"/>
                <w:szCs w:val="20"/>
                <w:b w:val="1"/>
                <w:bCs w:val="1"/>
                <w:color w:val="auto"/>
                <w:w w:val="88"/>
                <w:vertAlign w:val="superscript"/>
              </w:rPr>
              <w:t>th</w:t>
            </w:r>
            <w:r>
              <w:rPr>
                <w:rFonts w:ascii="Arial" w:cs="Arial" w:eastAsia="Arial" w:hAnsi="Arial"/>
                <w:sz w:val="16"/>
                <w:szCs w:val="16"/>
                <w:b w:val="1"/>
                <w:bCs w:val="1"/>
                <w:color w:val="auto"/>
                <w:w w:val="88"/>
              </w:rPr>
              <w:t xml:space="preserve"> Floor</w:t>
            </w:r>
          </w:p>
        </w:tc>
      </w:tr>
      <w:tr>
        <w:trPr>
          <w:trHeight w:val="183"/>
        </w:trPr>
        <w:tc>
          <w:tcPr>
            <w:tcW w:w="2760" w:type="dxa"/>
            <w:vAlign w:val="bottom"/>
          </w:tcPr>
          <w:p>
            <w:pPr>
              <w:jc w:val="center"/>
              <w:ind w:right="882"/>
              <w:spacing w:after="0" w:line="183" w:lineRule="exact"/>
              <w:rPr>
                <w:sz w:val="20"/>
                <w:szCs w:val="20"/>
                <w:color w:val="auto"/>
              </w:rPr>
            </w:pPr>
            <w:r>
              <w:rPr>
                <w:rFonts w:ascii="Arial" w:cs="Arial" w:eastAsia="Arial" w:hAnsi="Arial"/>
                <w:sz w:val="16"/>
                <w:szCs w:val="16"/>
                <w:b w:val="1"/>
                <w:bCs w:val="1"/>
                <w:color w:val="auto"/>
                <w:w w:val="90"/>
              </w:rPr>
              <w:t>Cooley LLP</w:t>
            </w:r>
          </w:p>
        </w:tc>
        <w:tc>
          <w:tcPr>
            <w:tcW w:w="5080" w:type="dxa"/>
            <w:vAlign w:val="bottom"/>
          </w:tcPr>
          <w:p>
            <w:pPr>
              <w:jc w:val="center"/>
              <w:ind w:left="3222"/>
              <w:spacing w:after="0" w:line="183" w:lineRule="exact"/>
              <w:rPr>
                <w:sz w:val="20"/>
                <w:szCs w:val="20"/>
                <w:color w:val="auto"/>
              </w:rPr>
            </w:pPr>
            <w:r>
              <w:rPr>
                <w:rFonts w:ascii="Arial" w:cs="Arial" w:eastAsia="Arial" w:hAnsi="Arial"/>
                <w:sz w:val="16"/>
                <w:szCs w:val="16"/>
                <w:b w:val="1"/>
                <w:bCs w:val="1"/>
                <w:color w:val="auto"/>
                <w:w w:val="85"/>
              </w:rPr>
              <w:t>San Jose, CA 95113</w:t>
            </w:r>
          </w:p>
        </w:tc>
      </w:tr>
      <w:tr>
        <w:trPr>
          <w:trHeight w:val="183"/>
        </w:trPr>
        <w:tc>
          <w:tcPr>
            <w:tcW w:w="2760" w:type="dxa"/>
            <w:vAlign w:val="bottom"/>
          </w:tcPr>
          <w:p>
            <w:pPr>
              <w:jc w:val="center"/>
              <w:ind w:right="862"/>
              <w:spacing w:after="0" w:line="183" w:lineRule="exact"/>
              <w:rPr>
                <w:sz w:val="20"/>
                <w:szCs w:val="20"/>
                <w:color w:val="auto"/>
              </w:rPr>
            </w:pPr>
            <w:r>
              <w:rPr>
                <w:rFonts w:ascii="Arial" w:cs="Arial" w:eastAsia="Arial" w:hAnsi="Arial"/>
                <w:sz w:val="16"/>
                <w:szCs w:val="16"/>
                <w:b w:val="1"/>
                <w:bCs w:val="1"/>
                <w:color w:val="auto"/>
                <w:w w:val="89"/>
              </w:rPr>
              <w:t>3175 Hanover Street</w:t>
            </w:r>
          </w:p>
        </w:tc>
        <w:tc>
          <w:tcPr>
            <w:tcW w:w="5080" w:type="dxa"/>
            <w:vAlign w:val="bottom"/>
          </w:tcPr>
          <w:p>
            <w:pPr>
              <w:jc w:val="center"/>
              <w:ind w:left="3222"/>
              <w:spacing w:after="0" w:line="183" w:lineRule="exact"/>
              <w:rPr>
                <w:sz w:val="20"/>
                <w:szCs w:val="20"/>
                <w:color w:val="auto"/>
              </w:rPr>
            </w:pPr>
            <w:r>
              <w:rPr>
                <w:rFonts w:ascii="Arial" w:cs="Arial" w:eastAsia="Arial" w:hAnsi="Arial"/>
                <w:sz w:val="16"/>
                <w:szCs w:val="16"/>
                <w:b w:val="1"/>
                <w:bCs w:val="1"/>
                <w:color w:val="auto"/>
                <w:w w:val="89"/>
              </w:rPr>
              <w:t>(888) 799-9666</w:t>
            </w:r>
          </w:p>
        </w:tc>
      </w:tr>
      <w:tr>
        <w:trPr>
          <w:trHeight w:val="183"/>
        </w:trPr>
        <w:tc>
          <w:tcPr>
            <w:tcW w:w="2760" w:type="dxa"/>
            <w:vAlign w:val="bottom"/>
          </w:tcPr>
          <w:p>
            <w:pPr>
              <w:jc w:val="center"/>
              <w:ind w:right="862"/>
              <w:spacing w:after="0" w:line="183" w:lineRule="exact"/>
              <w:rPr>
                <w:sz w:val="20"/>
                <w:szCs w:val="20"/>
                <w:color w:val="auto"/>
              </w:rPr>
            </w:pPr>
            <w:r>
              <w:rPr>
                <w:rFonts w:ascii="Arial" w:cs="Arial" w:eastAsia="Arial" w:hAnsi="Arial"/>
                <w:sz w:val="16"/>
                <w:szCs w:val="16"/>
                <w:b w:val="1"/>
                <w:bCs w:val="1"/>
                <w:color w:val="auto"/>
                <w:w w:val="90"/>
              </w:rPr>
              <w:t>Palo Alto, California 94304</w:t>
            </w:r>
          </w:p>
        </w:tc>
        <w:tc>
          <w:tcPr>
            <w:tcW w:w="5080" w:type="dxa"/>
            <w:vAlign w:val="bottom"/>
          </w:tcPr>
          <w:p>
            <w:pPr>
              <w:spacing w:after="0"/>
              <w:rPr>
                <w:sz w:val="15"/>
                <w:szCs w:val="15"/>
                <w:color w:val="auto"/>
              </w:rPr>
            </w:pPr>
          </w:p>
        </w:tc>
      </w:tr>
      <w:tr>
        <w:trPr>
          <w:trHeight w:val="203"/>
        </w:trPr>
        <w:tc>
          <w:tcPr>
            <w:tcW w:w="2760" w:type="dxa"/>
            <w:vAlign w:val="bottom"/>
          </w:tcPr>
          <w:p>
            <w:pPr>
              <w:jc w:val="center"/>
              <w:ind w:right="862"/>
              <w:spacing w:after="0"/>
              <w:rPr>
                <w:sz w:val="20"/>
                <w:szCs w:val="20"/>
                <w:color w:val="auto"/>
              </w:rPr>
            </w:pPr>
            <w:r>
              <w:rPr>
                <w:rFonts w:ascii="Arial" w:cs="Arial" w:eastAsia="Arial" w:hAnsi="Arial"/>
                <w:sz w:val="16"/>
                <w:szCs w:val="16"/>
                <w:b w:val="1"/>
                <w:bCs w:val="1"/>
                <w:color w:val="auto"/>
                <w:w w:val="89"/>
              </w:rPr>
              <w:t>(650) 843-5000</w:t>
            </w:r>
          </w:p>
        </w:tc>
        <w:tc>
          <w:tcPr>
            <w:tcW w:w="5080" w:type="dxa"/>
            <w:vAlign w:val="bottom"/>
          </w:tcPr>
          <w:p>
            <w:pPr>
              <w:spacing w:after="0"/>
              <w:rPr>
                <w:sz w:val="17"/>
                <w:szCs w:val="17"/>
                <w:color w:val="auto"/>
              </w:rPr>
            </w:pPr>
          </w:p>
        </w:tc>
      </w:tr>
    </w:tbl>
    <w:p>
      <w:pPr>
        <w:spacing w:after="0" w:line="87" w:lineRule="exact"/>
        <w:rPr>
          <w:sz w:val="24"/>
          <w:szCs w:val="24"/>
          <w:color w:val="auto"/>
        </w:rPr>
      </w:pPr>
    </w:p>
    <w:p>
      <w:pPr>
        <w:jc w:val="center"/>
        <w:ind w:left="80"/>
        <w:spacing w:after="0" w:line="290" w:lineRule="auto"/>
        <w:rPr>
          <w:sz w:val="20"/>
          <w:szCs w:val="20"/>
          <w:color w:val="auto"/>
        </w:rPr>
      </w:pPr>
      <w:r>
        <w:rPr>
          <w:rFonts w:ascii="Arial" w:cs="Arial" w:eastAsia="Arial" w:hAnsi="Arial"/>
          <w:sz w:val="15"/>
          <w:szCs w:val="15"/>
          <w:color w:val="auto"/>
        </w:rPr>
        <w:t>Indicate by check mark whether the registrant is a large accelerated filer, an accelerated filer, a non-accelerated filer, or a smaller reporting company. See the definitions of “large accelerated filer,” “accelerated filer,” “smaller reporting company,” and “emerging growth company” in Rule 12b-2 of the Exchange Act.</w:t>
      </w:r>
    </w:p>
    <w:p>
      <w:pPr>
        <w:sectPr>
          <w:pgSz w:w="11900" w:h="16838" w:orient="portrait"/>
          <w:cols w:equalWidth="0" w:num="1">
            <w:col w:w="11180"/>
          </w:cols>
          <w:pgMar w:left="320" w:top="1440" w:right="399" w:bottom="1440" w:gutter="0" w:footer="0" w:header="0"/>
          <w:type w:val="continuous"/>
        </w:sectPr>
      </w:pPr>
    </w:p>
    <w:p>
      <w:pPr>
        <w:ind w:left="180"/>
        <w:spacing w:after="0"/>
        <w:rPr>
          <w:sz w:val="20"/>
          <w:szCs w:val="20"/>
          <w:color w:val="auto"/>
        </w:rPr>
      </w:pPr>
      <w:r>
        <w:rPr>
          <w:rFonts w:ascii="Arial" w:cs="Arial" w:eastAsia="Arial" w:hAnsi="Arial"/>
          <w:sz w:val="13"/>
          <w:szCs w:val="13"/>
          <w:color w:val="auto"/>
        </w:rPr>
        <w:t>Large 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Accelerated filer</w:t>
      </w:r>
    </w:p>
    <w:p>
      <w:pPr>
        <w:spacing w:after="0" w:line="85"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180"/>
        <w:spacing w:after="0"/>
        <w:rPr>
          <w:sz w:val="20"/>
          <w:szCs w:val="20"/>
          <w:color w:val="auto"/>
        </w:rPr>
      </w:pPr>
      <w:r>
        <w:rPr>
          <w:rFonts w:ascii="Arial" w:cs="Arial" w:eastAsia="Arial" w:hAnsi="Arial"/>
          <w:sz w:val="13"/>
          <w:szCs w:val="13"/>
          <w:color w:val="auto"/>
        </w:rPr>
        <w:t>Non-accelerated filer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Smaller reporting company</w:t>
      </w:r>
    </w:p>
    <w:p>
      <w:pPr>
        <w:spacing w:after="0" w:line="85" w:lineRule="exact"/>
        <w:rPr>
          <w:sz w:val="24"/>
          <w:szCs w:val="24"/>
          <w:color w:val="auto"/>
        </w:rPr>
      </w:pPr>
    </w:p>
    <w:p>
      <w:pPr>
        <w:sectPr>
          <w:pgSz w:w="11900" w:h="16838" w:orient="portrait"/>
          <w:cols w:equalWidth="0" w:num="2">
            <w:col w:w="7080" w:space="720"/>
            <w:col w:w="3380"/>
          </w:cols>
          <w:pgMar w:left="320" w:top="1440" w:right="399" w:bottom="1440" w:gutter="0" w:footer="0" w:header="0"/>
          <w:type w:val="continuous"/>
        </w:sectPr>
      </w:pPr>
    </w:p>
    <w:p>
      <w:pPr>
        <w:ind w:left="7800"/>
        <w:spacing w:after="0"/>
        <w:rPr>
          <w:sz w:val="20"/>
          <w:szCs w:val="20"/>
          <w:color w:val="auto"/>
        </w:rPr>
      </w:pPr>
      <w:r>
        <w:rPr>
          <w:rFonts w:ascii="Arial" w:cs="Arial" w:eastAsia="Arial" w:hAnsi="Arial"/>
          <w:sz w:val="13"/>
          <w:szCs w:val="13"/>
          <w:color w:val="auto"/>
        </w:rPr>
        <w:t>Emerging growth company</w:t>
      </w:r>
    </w:p>
    <w:p>
      <w:pPr>
        <w:sectPr>
          <w:pgSz w:w="11900" w:h="16838" w:orient="portrait"/>
          <w:cols w:equalWidth="0" w:num="1">
            <w:col w:w="11180"/>
          </w:cols>
          <w:pgMar w:left="320" w:top="1440" w:right="399" w:bottom="1440" w:gutter="0" w:footer="0" w:header="0"/>
          <w:type w:val="continuous"/>
        </w:sectPr>
      </w:pPr>
    </w:p>
    <w:p>
      <w:pPr>
        <w:spacing w:after="0" w:line="150" w:lineRule="exact"/>
        <w:rPr>
          <w:sz w:val="24"/>
          <w:szCs w:val="24"/>
          <w:color w:val="auto"/>
        </w:rPr>
      </w:pPr>
    </w:p>
    <w:p>
      <w:pPr>
        <w:ind w:right="300"/>
        <w:spacing w:after="0" w:line="258"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7(a)(2)(B) of the Securities Act.</w:t>
      </w:r>
    </w:p>
    <w:p>
      <w:pPr>
        <w:sectPr>
          <w:pgSz w:w="11900" w:h="16838" w:orient="portrait"/>
          <w:cols w:equalWidth="0" w:num="1">
            <w:col w:w="11180"/>
          </w:cols>
          <w:pgMar w:left="320" w:top="1440" w:right="399" w:bottom="1440" w:gutter="0" w:footer="0" w:header="0"/>
          <w:type w:val="continuous"/>
        </w:sectPr>
      </w:pPr>
    </w:p>
    <w:bookmarkStart w:id="1" w:name="page2"/>
    <w:bookmarkEnd w:id="1"/>
    <w:p>
      <w:pPr>
        <w:spacing w:after="0" w:line="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EXPLANATORY NOTE</w:t>
      </w:r>
    </w:p>
    <w:p>
      <w:pPr>
        <w:spacing w:after="0" w:line="200" w:lineRule="exact"/>
        <w:rPr>
          <w:sz w:val="20"/>
          <w:szCs w:val="20"/>
          <w:color w:val="auto"/>
        </w:rPr>
      </w:pPr>
    </w:p>
    <w:p>
      <w:pPr>
        <w:spacing w:after="0" w:line="236" w:lineRule="exact"/>
        <w:rPr>
          <w:sz w:val="20"/>
          <w:szCs w:val="20"/>
          <w:color w:val="auto"/>
        </w:rPr>
      </w:pPr>
    </w:p>
    <w:p>
      <w:pPr>
        <w:jc w:val="both"/>
        <w:ind w:firstLine="626"/>
        <w:spacing w:after="0" w:line="280" w:lineRule="auto"/>
        <w:rPr>
          <w:sz w:val="20"/>
          <w:szCs w:val="20"/>
          <w:color w:val="auto"/>
        </w:rPr>
      </w:pPr>
      <w:r>
        <w:rPr>
          <w:rFonts w:ascii="Arial" w:cs="Arial" w:eastAsia="Arial" w:hAnsi="Arial"/>
          <w:sz w:val="16"/>
          <w:szCs w:val="16"/>
          <w:color w:val="auto"/>
        </w:rPr>
        <w:t>Zoom Video Communications, Inc. (the “</w:t>
      </w:r>
      <w:r>
        <w:rPr>
          <w:rFonts w:ascii="Arial" w:cs="Arial" w:eastAsia="Arial" w:hAnsi="Arial"/>
          <w:sz w:val="16"/>
          <w:szCs w:val="16"/>
          <w:b w:val="1"/>
          <w:bCs w:val="1"/>
          <w:i w:val="1"/>
          <w:iCs w:val="1"/>
          <w:color w:val="auto"/>
        </w:rPr>
        <w:t>Registrant</w:t>
      </w:r>
      <w:r>
        <w:rPr>
          <w:rFonts w:ascii="Arial" w:cs="Arial" w:eastAsia="Arial" w:hAnsi="Arial"/>
          <w:sz w:val="16"/>
          <w:szCs w:val="16"/>
          <w:color w:val="auto"/>
        </w:rPr>
        <w:t>”) is filing this Registration Statement with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to register (i) 14,951,890 additional shares of its Class A common stock under its 2019 Equity Incentive Plan (the "</w:t>
      </w:r>
      <w:r>
        <w:rPr>
          <w:rFonts w:ascii="Arial" w:cs="Arial" w:eastAsia="Arial" w:hAnsi="Arial"/>
          <w:sz w:val="16"/>
          <w:szCs w:val="16"/>
          <w:b w:val="1"/>
          <w:bCs w:val="1"/>
          <w:i w:val="1"/>
          <w:iCs w:val="1"/>
          <w:color w:val="auto"/>
        </w:rPr>
        <w:t>2019 Plan</w:t>
      </w:r>
      <w:r>
        <w:rPr>
          <w:rFonts w:ascii="Arial" w:cs="Arial" w:eastAsia="Arial" w:hAnsi="Arial"/>
          <w:sz w:val="16"/>
          <w:szCs w:val="16"/>
          <w:color w:val="auto"/>
        </w:rPr>
        <w:t>"), pursuant to the provisions of the 2019 Plan providing for an automatic increase in the number of shares Class A common stock reserved and available for issuance under the 2019 Plan on February 1, 2022 and (ii) 2,990,378 additional shares of its Class A common stock under its 2019 Employee Stock Purchsae Plan (the "</w:t>
      </w:r>
      <w:r>
        <w:rPr>
          <w:rFonts w:ascii="Arial" w:cs="Arial" w:eastAsia="Arial" w:hAnsi="Arial"/>
          <w:sz w:val="16"/>
          <w:szCs w:val="16"/>
          <w:b w:val="1"/>
          <w:bCs w:val="1"/>
          <w:i w:val="1"/>
          <w:iCs w:val="1"/>
          <w:color w:val="auto"/>
        </w:rPr>
        <w:t>2019</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ESPP</w:t>
      </w:r>
      <w:r>
        <w:rPr>
          <w:rFonts w:ascii="Arial" w:cs="Arial" w:eastAsia="Arial" w:hAnsi="Arial"/>
          <w:sz w:val="16"/>
          <w:szCs w:val="16"/>
          <w:color w:val="auto"/>
        </w:rPr>
        <w:t>"), pursuant to the provisions of 2019 ESPP providing for an automatic increase in the number of shares of Class A common stock reserved and available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issuance under the 2019 ESPP on February 1, 2022. In accordance with the instructional note to Part I of Form S-8 as promulgated by the Commission, the information specified by Part I of the Form S-8 has been omitted from this Registration Statement.</w:t>
      </w:r>
    </w:p>
    <w:p>
      <w:pPr>
        <w:spacing w:after="0" w:line="166" w:lineRule="exact"/>
        <w:rPr>
          <w:sz w:val="20"/>
          <w:szCs w:val="20"/>
          <w:color w:val="auto"/>
        </w:rPr>
      </w:pPr>
    </w:p>
    <w:p>
      <w:pPr>
        <w:jc w:val="both"/>
        <w:ind w:firstLine="626"/>
        <w:spacing w:after="0" w:line="271" w:lineRule="auto"/>
        <w:rPr>
          <w:rFonts w:ascii="Arial" w:cs="Arial" w:eastAsia="Arial" w:hAnsi="Arial"/>
          <w:sz w:val="17"/>
          <w:szCs w:val="17"/>
          <w:color w:val="auto"/>
        </w:rPr>
      </w:pPr>
      <w:r>
        <w:rPr>
          <w:rFonts w:ascii="Arial" w:cs="Arial" w:eastAsia="Arial" w:hAnsi="Arial"/>
          <w:sz w:val="17"/>
          <w:szCs w:val="17"/>
          <w:color w:val="auto"/>
        </w:rPr>
        <w:t>Pursuant to General Instruction E of Form S-8, the contents of the Registration Statements on Form S-8 filed with the Commission on April 23, 2019 (</w:t>
      </w:r>
      <w:hyperlink r:id="rId10">
        <w:r>
          <w:rPr>
            <w:rFonts w:ascii="Arial" w:cs="Arial" w:eastAsia="Arial" w:hAnsi="Arial"/>
            <w:sz w:val="17"/>
            <w:szCs w:val="17"/>
            <w:u w:val="single" w:color="auto"/>
            <w:color w:val="0000FF"/>
          </w:rPr>
          <w:t>File No. 333-230997</w:t>
        </w:r>
      </w:hyperlink>
      <w:r>
        <w:rPr>
          <w:rFonts w:ascii="Arial" w:cs="Arial" w:eastAsia="Arial" w:hAnsi="Arial"/>
          <w:sz w:val="17"/>
          <w:szCs w:val="17"/>
          <w:color w:val="auto"/>
        </w:rPr>
        <w:t>), March 20, 2020 (</w:t>
      </w:r>
      <w:hyperlink r:id="rId11">
        <w:r>
          <w:rPr>
            <w:rFonts w:ascii="Arial" w:cs="Arial" w:eastAsia="Arial" w:hAnsi="Arial"/>
            <w:sz w:val="17"/>
            <w:szCs w:val="17"/>
            <w:u w:val="single" w:color="auto"/>
            <w:color w:val="0000FF"/>
          </w:rPr>
          <w:t>File No. 333-237348</w:t>
        </w:r>
      </w:hyperlink>
      <w:r>
        <w:rPr>
          <w:rFonts w:ascii="Arial" w:cs="Arial" w:eastAsia="Arial" w:hAnsi="Arial"/>
          <w:sz w:val="17"/>
          <w:szCs w:val="17"/>
          <w:color w:val="auto"/>
        </w:rPr>
        <w:t>) and March 18, 2021 (</w:t>
      </w:r>
      <w:hyperlink r:id="rId12">
        <w:r>
          <w:rPr>
            <w:rFonts w:ascii="Arial" w:cs="Arial" w:eastAsia="Arial" w:hAnsi="Arial"/>
            <w:sz w:val="17"/>
            <w:szCs w:val="17"/>
            <w:u w:val="single" w:color="auto"/>
            <w:color w:val="0000FF"/>
          </w:rPr>
          <w:t>File No. 333-254444</w:t>
        </w:r>
      </w:hyperlink>
      <w:r>
        <w:rPr>
          <w:rFonts w:ascii="Arial" w:cs="Arial" w:eastAsia="Arial" w:hAnsi="Arial"/>
          <w:sz w:val="17"/>
          <w:szCs w:val="17"/>
          <w:color w:val="auto"/>
        </w:rPr>
        <w:t>) are hereby incorporated by reference in this Registration Statement to the extent not replaced hereby.</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10" w:lineRule="exact"/>
        <w:rPr>
          <w:rFonts w:ascii="Arial" w:cs="Arial" w:eastAsia="Arial" w:hAnsi="Arial"/>
          <w:sz w:val="17"/>
          <w:szCs w:val="17"/>
          <w:color w:val="auto"/>
        </w:rPr>
      </w:pPr>
    </w:p>
    <w:p>
      <w:pPr>
        <w:ind w:left="5300"/>
        <w:spacing w:after="0"/>
        <w:rPr>
          <w:sz w:val="20"/>
          <w:szCs w:val="20"/>
          <w:color w:val="auto"/>
        </w:rPr>
      </w:pPr>
      <w:r>
        <w:rPr>
          <w:rFonts w:ascii="Arial" w:cs="Arial" w:eastAsia="Arial" w:hAnsi="Arial"/>
          <w:sz w:val="17"/>
          <w:szCs w:val="17"/>
          <w:b w:val="1"/>
          <w:bCs w:val="1"/>
          <w:color w:val="auto"/>
        </w:rPr>
        <w:t>PART II</w:t>
      </w:r>
    </w:p>
    <w:p>
      <w:pPr>
        <w:spacing w:after="0" w:line="183" w:lineRule="exact"/>
        <w:rPr>
          <w:rFonts w:ascii="Arial" w:cs="Arial" w:eastAsia="Arial" w:hAnsi="Arial"/>
          <w:sz w:val="17"/>
          <w:szCs w:val="17"/>
          <w:color w:val="auto"/>
        </w:rPr>
      </w:pPr>
    </w:p>
    <w:p>
      <w:pPr>
        <w:spacing w:after="0"/>
        <w:tabs>
          <w:tab w:leader="none" w:pos="800" w:val="left"/>
        </w:tabs>
        <w:rPr>
          <w:sz w:val="20"/>
          <w:szCs w:val="20"/>
          <w:color w:val="auto"/>
        </w:rPr>
      </w:pPr>
      <w:r>
        <w:rPr>
          <w:rFonts w:ascii="Arial" w:cs="Arial" w:eastAsia="Arial" w:hAnsi="Arial"/>
          <w:sz w:val="17"/>
          <w:szCs w:val="17"/>
          <w:b w:val="1"/>
          <w:bCs w:val="1"/>
          <w:color w:val="auto"/>
        </w:rPr>
        <w:t>ITEM 3.</w:t>
        <w:tab/>
        <w:t>INCORPORATION OF CERTAIN DOCUMENTS BY REFERENCE</w:t>
      </w:r>
    </w:p>
    <w:p>
      <w:pPr>
        <w:spacing w:after="0" w:line="189" w:lineRule="exact"/>
        <w:rPr>
          <w:rFonts w:ascii="Arial" w:cs="Arial" w:eastAsia="Arial" w:hAnsi="Arial"/>
          <w:sz w:val="17"/>
          <w:szCs w:val="17"/>
          <w:color w:val="auto"/>
        </w:rPr>
      </w:pPr>
    </w:p>
    <w:p>
      <w:pPr>
        <w:ind w:left="640"/>
        <w:spacing w:after="0"/>
        <w:rPr>
          <w:sz w:val="20"/>
          <w:szCs w:val="20"/>
          <w:color w:val="auto"/>
        </w:rPr>
      </w:pPr>
      <w:r>
        <w:rPr>
          <w:rFonts w:ascii="Arial" w:cs="Arial" w:eastAsia="Arial" w:hAnsi="Arial"/>
          <w:sz w:val="17"/>
          <w:szCs w:val="17"/>
          <w:color w:val="auto"/>
        </w:rPr>
        <w:t>The following documents filed by the Registrant with the Commission are incorporated by reference into this Registration Statement:</w:t>
      </w:r>
    </w:p>
    <w:p>
      <w:pPr>
        <w:spacing w:after="0" w:line="196" w:lineRule="exact"/>
        <w:rPr>
          <w:rFonts w:ascii="Arial" w:cs="Arial" w:eastAsia="Arial" w:hAnsi="Arial"/>
          <w:sz w:val="17"/>
          <w:szCs w:val="17"/>
          <w:color w:val="auto"/>
        </w:rPr>
      </w:pPr>
    </w:p>
    <w:p>
      <w:pPr>
        <w:jc w:val="both"/>
        <w:ind w:firstLine="466"/>
        <w:spacing w:after="0" w:line="271" w:lineRule="auto"/>
        <w:tabs>
          <w:tab w:leader="none" w:pos="693"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Registrant’s Annual Report on </w:t>
      </w:r>
      <w:hyperlink r:id="rId13">
        <w:r>
          <w:rPr>
            <w:rFonts w:ascii="Arial" w:cs="Arial" w:eastAsia="Arial" w:hAnsi="Arial"/>
            <w:sz w:val="17"/>
            <w:szCs w:val="17"/>
            <w:u w:val="single" w:color="auto"/>
            <w:color w:val="0000FF"/>
          </w:rPr>
          <w:t>Form 10-K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for the fiscal year ended January 31, 2022 filed on March 7, 2022 (the "</w:t>
      </w:r>
      <w:r>
        <w:rPr>
          <w:rFonts w:ascii="Arial" w:cs="Arial" w:eastAsia="Arial" w:hAnsi="Arial"/>
          <w:sz w:val="17"/>
          <w:szCs w:val="17"/>
          <w:b w:val="1"/>
          <w:bCs w:val="1"/>
          <w:i w:val="1"/>
          <w:iCs w:val="1"/>
          <w:color w:val="auto"/>
        </w:rPr>
        <w:t>Annual Report</w:t>
      </w:r>
      <w:r>
        <w:rPr>
          <w:rFonts w:ascii="Arial" w:cs="Arial" w:eastAsia="Arial" w:hAnsi="Arial"/>
          <w:sz w:val="17"/>
          <w:szCs w:val="17"/>
          <w:color w:val="auto"/>
        </w:rPr>
        <w:t>"), which contains audited financial statements for the Registrant’s latest fiscal year, including the information to be incorporated by reference into the Annual Report from the Registrant’s definitive proxy statement on Schedule 14A, to be filed with the Commission.</w:t>
      </w:r>
    </w:p>
    <w:p>
      <w:pPr>
        <w:spacing w:after="0" w:line="133" w:lineRule="exact"/>
        <w:rPr>
          <w:rFonts w:ascii="Arial" w:cs="Arial" w:eastAsia="Arial" w:hAnsi="Arial"/>
          <w:sz w:val="17"/>
          <w:szCs w:val="17"/>
          <w:color w:val="auto"/>
        </w:rPr>
      </w:pPr>
    </w:p>
    <w:p>
      <w:pPr>
        <w:jc w:val="both"/>
        <w:ind w:firstLine="418"/>
        <w:spacing w:after="0" w:line="271" w:lineRule="auto"/>
        <w:tabs>
          <w:tab w:leader="none" w:pos="672" w:val="left"/>
        </w:tabs>
        <w:numPr>
          <w:ilvl w:val="0"/>
          <w:numId w:val="1"/>
        </w:numPr>
        <w:rPr>
          <w:rFonts w:ascii="Arial" w:cs="Arial" w:eastAsia="Arial" w:hAnsi="Arial"/>
          <w:sz w:val="17"/>
          <w:szCs w:val="17"/>
          <w:color w:val="auto"/>
        </w:rPr>
      </w:pPr>
      <w:r>
        <w:rPr>
          <w:rFonts w:ascii="Arial" w:cs="Arial" w:eastAsia="Arial" w:hAnsi="Arial"/>
          <w:sz w:val="17"/>
          <w:szCs w:val="17"/>
          <w:color w:val="auto"/>
        </w:rPr>
        <w:t xml:space="preserve">The description of the Registrant’s Class A Common Stock which is contained in a registration statement on </w:t>
      </w:r>
      <w:hyperlink r:id="rId14">
        <w:r>
          <w:rPr>
            <w:rFonts w:ascii="Arial" w:cs="Arial" w:eastAsia="Arial" w:hAnsi="Arial"/>
            <w:sz w:val="17"/>
            <w:szCs w:val="17"/>
            <w:color w:val="0000FF"/>
          </w:rPr>
          <w:t>Form 8-A</w:t>
        </w:r>
        <w:r>
          <w:rPr>
            <w:rFonts w:ascii="Arial" w:cs="Arial" w:eastAsia="Arial" w:hAnsi="Arial"/>
            <w:sz w:val="17"/>
            <w:szCs w:val="17"/>
            <w:color w:val="auto"/>
          </w:rPr>
          <w:t xml:space="preserve"> </w:t>
        </w:r>
      </w:hyperlink>
      <w:r>
        <w:rPr>
          <w:rFonts w:ascii="Arial" w:cs="Arial" w:eastAsia="Arial" w:hAnsi="Arial"/>
          <w:sz w:val="17"/>
          <w:szCs w:val="17"/>
          <w:color w:val="auto"/>
        </w:rPr>
        <w:t>filed on April 8, 2019 (File No. 001-38865) under the Exchange Act of 1934, as amended (the “</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xml:space="preserve">”), including any amendment or report filed for the purpose of updating such description, including </w:t>
      </w:r>
      <w:hyperlink r:id="rId15">
        <w:r>
          <w:rPr>
            <w:rFonts w:ascii="Arial" w:cs="Arial" w:eastAsia="Arial" w:hAnsi="Arial"/>
            <w:sz w:val="17"/>
            <w:szCs w:val="17"/>
            <w:color w:val="0000FF"/>
          </w:rPr>
          <w:t>Exhibit 4.3</w:t>
        </w:r>
        <w:r>
          <w:rPr>
            <w:rFonts w:ascii="Arial" w:cs="Arial" w:eastAsia="Arial" w:hAnsi="Arial"/>
            <w:sz w:val="17"/>
            <w:szCs w:val="17"/>
            <w:color w:val="auto"/>
          </w:rPr>
          <w:t xml:space="preserve"> </w:t>
        </w:r>
      </w:hyperlink>
      <w:r>
        <w:rPr>
          <w:rFonts w:ascii="Arial" w:cs="Arial" w:eastAsia="Arial" w:hAnsi="Arial"/>
          <w:sz w:val="17"/>
          <w:szCs w:val="17"/>
          <w:color w:val="auto"/>
        </w:rPr>
        <w:t>to the Annual Report.</w:t>
      </w:r>
    </w:p>
    <w:p>
      <w:pPr>
        <w:spacing w:after="0" w:line="133" w:lineRule="exact"/>
        <w:rPr>
          <w:rFonts w:ascii="Arial" w:cs="Arial" w:eastAsia="Arial" w:hAnsi="Arial"/>
          <w:sz w:val="17"/>
          <w:szCs w:val="17"/>
          <w:color w:val="auto"/>
        </w:rPr>
      </w:pPr>
    </w:p>
    <w:p>
      <w:pPr>
        <w:jc w:val="both"/>
        <w:ind w:firstLine="370"/>
        <w:spacing w:after="0" w:line="279" w:lineRule="auto"/>
        <w:tabs>
          <w:tab w:leader="none" w:pos="679" w:val="left"/>
        </w:tabs>
        <w:numPr>
          <w:ilvl w:val="0"/>
          <w:numId w:val="1"/>
        </w:numPr>
        <w:rPr>
          <w:rFonts w:ascii="Arial" w:cs="Arial" w:eastAsia="Arial" w:hAnsi="Arial"/>
          <w:sz w:val="16"/>
          <w:szCs w:val="16"/>
          <w:b w:val="1"/>
          <w:bCs w:val="1"/>
          <w:color w:val="auto"/>
        </w:rPr>
      </w:pPr>
      <w:r>
        <w:rPr>
          <w:rFonts w:ascii="Arial" w:cs="Arial" w:eastAsia="Arial" w:hAnsi="Arial"/>
          <w:sz w:val="16"/>
          <w:szCs w:val="16"/>
          <w:color w:val="auto"/>
        </w:rPr>
        <w:t>All other reports and documents subsequently filed by the Registrant pursuant to Sections 13(a), 13(c), 14 and 15(d) of the Exchange Act (other than Current Reports furnished under Item 2.02 or Item 7.01 of Form 8-K and exhibits furnished on such form that relate to such items) on or after the date of this Registration Statement and prior to the filing of a post-effective amendment to this Registration Statement which indicates that all securities offered have been sold or which deregisters all securities then remaining unsold, shall be deemed to be incorporated by reference herein and to be a part of this Registration Statement from the date of the filing of such reports and documents. Any statement contained in a document incorporated or deemed to be incorporated by reference herein shall be deemed to be modified or superseded for purposes of this Registration Statement to the extent that a statement contained herein or in any subsequently filed document that also is deemed to be incorporated by reference herein modifies or supersedes such statement. Any such statement so modified or superseded shall not be deemed, except as so modified or superseded, to constitute a part of this Registration Statement.</w:t>
      </w:r>
    </w:p>
    <w:p>
      <w:pPr>
        <w:sectPr>
          <w:pgSz w:w="11900" w:h="16838" w:orient="portrait"/>
          <w:cols w:equalWidth="0" w:num="1">
            <w:col w:w="11240"/>
          </w:cols>
          <w:pgMar w:left="320" w:top="1440" w:right="339" w:bottom="1440" w:gutter="0" w:footer="0" w:header="0"/>
        </w:sectPr>
      </w:pPr>
    </w:p>
    <w:bookmarkStart w:id="2" w:name="page3"/>
    <w:bookmarkEnd w:id="2"/>
    <w:p>
      <w:pPr>
        <w:spacing w:after="0" w:line="200" w:lineRule="exact"/>
        <w:rPr>
          <w:sz w:val="20"/>
          <w:szCs w:val="20"/>
          <w:color w:val="auto"/>
        </w:rPr>
      </w:pP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380" w:type="dxa"/>
            <w:vAlign w:val="bottom"/>
            <w:gridSpan w:val="21"/>
          </w:tcPr>
          <w:p>
            <w:pPr>
              <w:spacing w:after="0"/>
              <w:rPr>
                <w:sz w:val="20"/>
                <w:szCs w:val="20"/>
                <w:color w:val="auto"/>
              </w:rPr>
            </w:pPr>
            <w:r>
              <w:rPr>
                <w:rFonts w:ascii="Arial" w:cs="Arial" w:eastAsia="Arial" w:hAnsi="Arial"/>
                <w:sz w:val="17"/>
                <w:szCs w:val="17"/>
                <w:b w:val="1"/>
                <w:bCs w:val="1"/>
                <w:color w:val="auto"/>
              </w:rPr>
              <w:t>ITEM 8.  EXHIBITS</w:t>
            </w:r>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1"/>
        </w:trPr>
        <w:tc>
          <w:tcPr>
            <w:tcW w:w="1160" w:type="dxa"/>
            <w:vAlign w:val="bottom"/>
            <w:gridSpan w:val="2"/>
            <w:vMerge w:val="restart"/>
          </w:tcPr>
          <w:p>
            <w:pPr>
              <w:ind w:left="260"/>
              <w:spacing w:after="0"/>
              <w:rPr>
                <w:sz w:val="20"/>
                <w:szCs w:val="20"/>
                <w:color w:val="auto"/>
              </w:rPr>
            </w:pPr>
            <w:r>
              <w:rPr>
                <w:rFonts w:ascii="Arial" w:cs="Arial" w:eastAsia="Arial" w:hAnsi="Arial"/>
                <w:sz w:val="17"/>
                <w:szCs w:val="17"/>
                <w:b w:val="1"/>
                <w:bCs w:val="1"/>
                <w:color w:val="auto"/>
              </w:rPr>
              <w:t>Exhibit</w:t>
            </w:r>
          </w:p>
        </w:tc>
        <w:tc>
          <w:tcPr>
            <w:tcW w:w="7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3020" w:type="dxa"/>
            <w:vAlign w:val="bottom"/>
            <w:gridSpan w:val="5"/>
          </w:tcPr>
          <w:p>
            <w:pPr>
              <w:ind w:left="40"/>
              <w:spacing w:after="0"/>
              <w:rPr>
                <w:sz w:val="20"/>
                <w:szCs w:val="20"/>
                <w:color w:val="auto"/>
              </w:rPr>
            </w:pPr>
            <w:r>
              <w:rPr>
                <w:rFonts w:ascii="Arial" w:cs="Arial" w:eastAsia="Arial" w:hAnsi="Arial"/>
                <w:sz w:val="17"/>
                <w:szCs w:val="17"/>
                <w:b w:val="1"/>
                <w:bCs w:val="1"/>
                <w:color w:val="auto"/>
              </w:rPr>
              <w:t>Incorporated by Reference</w:t>
            </w:r>
          </w:p>
        </w:tc>
        <w:tc>
          <w:tcPr>
            <w:tcW w:w="2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1160" w:type="dxa"/>
            <w:vAlign w:val="bottom"/>
            <w:gridSpan w:val="2"/>
            <w:vMerge w:val="continue"/>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0" w:type="dxa"/>
            <w:vAlign w:val="bottom"/>
            <w:gridSpan w:val="12"/>
            <w:vMerge w:val="restart"/>
          </w:tcPr>
          <w:p>
            <w:pPr>
              <w:ind w:left="100"/>
              <w:spacing w:after="0"/>
              <w:rPr>
                <w:sz w:val="20"/>
                <w:szCs w:val="20"/>
                <w:color w:val="auto"/>
              </w:rPr>
            </w:pPr>
            <w:r>
              <w:rPr>
                <w:rFonts w:ascii="Arial" w:cs="Arial" w:eastAsia="Arial" w:hAnsi="Arial"/>
                <w:sz w:val="17"/>
                <w:szCs w:val="17"/>
                <w:b w:val="1"/>
                <w:bCs w:val="1"/>
                <w:color w:val="auto"/>
              </w:rPr>
              <w:t>Description</w:t>
            </w:r>
          </w:p>
        </w:tc>
        <w:tc>
          <w:tcPr>
            <w:tcW w:w="80" w:type="dxa"/>
            <w:vAlign w:val="bottom"/>
            <w:vMerge w:val="restart"/>
          </w:tcPr>
          <w:p>
            <w:pPr>
              <w:spacing w:after="0"/>
              <w:rPr>
                <w:sz w:val="14"/>
                <w:szCs w:val="14"/>
                <w:color w:val="auto"/>
              </w:rPr>
            </w:pPr>
          </w:p>
        </w:tc>
        <w:tc>
          <w:tcPr>
            <w:tcW w:w="760" w:type="dxa"/>
            <w:vAlign w:val="bottom"/>
            <w:vMerge w:val="restart"/>
          </w:tcPr>
          <w:p>
            <w:pPr>
              <w:jc w:val="center"/>
              <w:ind w:left="213"/>
              <w:spacing w:after="0"/>
              <w:rPr>
                <w:sz w:val="20"/>
                <w:szCs w:val="20"/>
                <w:color w:val="auto"/>
              </w:rPr>
            </w:pPr>
            <w:r>
              <w:rPr>
                <w:rFonts w:ascii="Arial" w:cs="Arial" w:eastAsia="Arial" w:hAnsi="Arial"/>
                <w:sz w:val="17"/>
                <w:szCs w:val="17"/>
                <w:b w:val="1"/>
                <w:bCs w:val="1"/>
                <w:color w:val="auto"/>
                <w:w w:val="98"/>
              </w:rPr>
              <w:t>Form</w:t>
            </w: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vMerge w:val="restart"/>
          </w:tcPr>
          <w:p>
            <w:pPr>
              <w:ind w:left="160"/>
              <w:spacing w:after="0"/>
              <w:rPr>
                <w:sz w:val="20"/>
                <w:szCs w:val="20"/>
                <w:color w:val="auto"/>
              </w:rPr>
            </w:pPr>
            <w:r>
              <w:rPr>
                <w:rFonts w:ascii="Arial" w:cs="Arial" w:eastAsia="Arial" w:hAnsi="Arial"/>
                <w:sz w:val="17"/>
                <w:szCs w:val="17"/>
                <w:b w:val="1"/>
                <w:bCs w:val="1"/>
                <w:color w:val="auto"/>
              </w:rPr>
              <w:t>File Number</w:t>
            </w:r>
          </w:p>
        </w:tc>
        <w:tc>
          <w:tcPr>
            <w:tcW w:w="100" w:type="dxa"/>
            <w:vAlign w:val="bottom"/>
            <w:vMerge w:val="restart"/>
          </w:tcPr>
          <w:p>
            <w:pPr>
              <w:spacing w:after="0"/>
              <w:rPr>
                <w:sz w:val="14"/>
                <w:szCs w:val="14"/>
                <w:color w:val="auto"/>
              </w:rPr>
            </w:pPr>
          </w:p>
        </w:tc>
        <w:tc>
          <w:tcPr>
            <w:tcW w:w="1280" w:type="dxa"/>
            <w:vAlign w:val="bottom"/>
            <w:vMerge w:val="restart"/>
          </w:tcPr>
          <w:p>
            <w:pPr>
              <w:ind w:left="280"/>
              <w:spacing w:after="0"/>
              <w:rPr>
                <w:sz w:val="20"/>
                <w:szCs w:val="20"/>
                <w:color w:val="auto"/>
              </w:rPr>
            </w:pPr>
            <w:r>
              <w:rPr>
                <w:rFonts w:ascii="Arial" w:cs="Arial" w:eastAsia="Arial" w:hAnsi="Arial"/>
                <w:sz w:val="17"/>
                <w:szCs w:val="17"/>
                <w:b w:val="1"/>
                <w:bCs w:val="1"/>
                <w:color w:val="auto"/>
              </w:rPr>
              <w:t>Exhibit</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b w:val="1"/>
                <w:bCs w:val="1"/>
                <w:color w:val="auto"/>
                <w:w w:val="94"/>
              </w:rPr>
              <w:t>Filing Date</w:t>
            </w:r>
          </w:p>
        </w:tc>
        <w:tc>
          <w:tcPr>
            <w:tcW w:w="0" w:type="dxa"/>
            <w:vAlign w:val="bottom"/>
          </w:tcPr>
          <w:p>
            <w:pPr>
              <w:spacing w:after="0"/>
              <w:rPr>
                <w:sz w:val="1"/>
                <w:szCs w:val="1"/>
                <w:color w:val="auto"/>
              </w:rPr>
            </w:pPr>
          </w:p>
        </w:tc>
      </w:tr>
      <w:tr>
        <w:trPr>
          <w:trHeight w:val="222"/>
        </w:trPr>
        <w:tc>
          <w:tcPr>
            <w:tcW w:w="1060" w:type="dxa"/>
            <w:vAlign w:val="bottom"/>
            <w:tcBorders>
              <w:bottom w:val="single" w:sz="8" w:color="auto"/>
            </w:tcBorders>
          </w:tcPr>
          <w:p>
            <w:pPr>
              <w:ind w:left="220"/>
              <w:spacing w:after="0"/>
              <w:rPr>
                <w:sz w:val="20"/>
                <w:szCs w:val="20"/>
                <w:color w:val="auto"/>
              </w:rPr>
            </w:pPr>
            <w:r>
              <w:rPr>
                <w:rFonts w:ascii="Arial" w:cs="Arial" w:eastAsia="Arial" w:hAnsi="Arial"/>
                <w:sz w:val="17"/>
                <w:szCs w:val="17"/>
                <w:b w:val="1"/>
                <w:bCs w:val="1"/>
                <w:color w:val="auto"/>
              </w:rPr>
              <w:t>Number</w:t>
            </w:r>
          </w:p>
        </w:tc>
        <w:tc>
          <w:tcPr>
            <w:tcW w:w="100" w:type="dxa"/>
            <w:vAlign w:val="bottom"/>
          </w:tcPr>
          <w:p>
            <w:pPr>
              <w:spacing w:after="0"/>
              <w:rPr>
                <w:sz w:val="19"/>
                <w:szCs w:val="19"/>
                <w:color w:val="auto"/>
              </w:rPr>
            </w:pPr>
          </w:p>
        </w:tc>
        <w:tc>
          <w:tcPr>
            <w:tcW w:w="7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2600" w:type="dxa"/>
            <w:vAlign w:val="bottom"/>
            <w:tcBorders>
              <w:bottom w:val="single" w:sz="8" w:color="auto"/>
            </w:tcBorders>
            <w:gridSpan w:val="12"/>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2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060" w:type="dxa"/>
            <w:vAlign w:val="bottom"/>
          </w:tcPr>
          <w:p>
            <w:pPr>
              <w:ind w:left="20"/>
              <w:spacing w:after="0" w:line="176" w:lineRule="exact"/>
              <w:rPr>
                <w:sz w:val="20"/>
                <w:szCs w:val="20"/>
                <w:color w:val="auto"/>
              </w:rPr>
            </w:pPr>
            <w:r>
              <w:rPr>
                <w:rFonts w:ascii="Arial" w:cs="Arial" w:eastAsia="Arial" w:hAnsi="Arial"/>
                <w:sz w:val="17"/>
                <w:szCs w:val="17"/>
                <w:color w:val="auto"/>
              </w:rPr>
              <w:t>4.1</w:t>
            </w:r>
          </w:p>
        </w:tc>
        <w:tc>
          <w:tcPr>
            <w:tcW w:w="100" w:type="dxa"/>
            <w:vAlign w:val="bottom"/>
          </w:tcPr>
          <w:p>
            <w:pPr>
              <w:spacing w:after="0"/>
              <w:rPr>
                <w:sz w:val="15"/>
                <w:szCs w:val="15"/>
                <w:color w:val="auto"/>
              </w:rPr>
            </w:pPr>
          </w:p>
        </w:tc>
        <w:tc>
          <w:tcPr>
            <w:tcW w:w="4220" w:type="dxa"/>
            <w:vAlign w:val="bottom"/>
            <w:gridSpan w:val="19"/>
          </w:tcPr>
          <w:p>
            <w:pPr>
              <w:spacing w:after="0" w:line="176" w:lineRule="exact"/>
              <w:rPr>
                <w:rFonts w:ascii="Arial" w:cs="Arial" w:eastAsia="Arial" w:hAnsi="Arial"/>
                <w:sz w:val="17"/>
                <w:szCs w:val="17"/>
                <w:color w:val="0000FF"/>
              </w:rPr>
            </w:pPr>
            <w:hyperlink r:id="rId16">
              <w:r>
                <w:rPr>
                  <w:rFonts w:ascii="Arial" w:cs="Arial" w:eastAsia="Arial" w:hAnsi="Arial"/>
                  <w:sz w:val="17"/>
                  <w:szCs w:val="17"/>
                  <w:color w:val="0000FF"/>
                </w:rPr>
                <w:t>Amended and Restated Certificate of Incorporation of</w:t>
              </w:r>
            </w:hyperlink>
          </w:p>
        </w:tc>
        <w:tc>
          <w:tcPr>
            <w:tcW w:w="760" w:type="dxa"/>
            <w:vAlign w:val="bottom"/>
          </w:tcPr>
          <w:p>
            <w:pPr>
              <w:jc w:val="center"/>
              <w:ind w:left="193"/>
              <w:spacing w:after="0" w:line="176" w:lineRule="exact"/>
              <w:rPr>
                <w:sz w:val="20"/>
                <w:szCs w:val="20"/>
                <w:color w:val="auto"/>
              </w:rPr>
            </w:pPr>
            <w:r>
              <w:rPr>
                <w:rFonts w:ascii="Arial" w:cs="Arial" w:eastAsia="Arial" w:hAnsi="Arial"/>
                <w:sz w:val="17"/>
                <w:szCs w:val="17"/>
                <w:color w:val="auto"/>
              </w:rPr>
              <w:t>8-K</w:t>
            </w:r>
          </w:p>
        </w:tc>
        <w:tc>
          <w:tcPr>
            <w:tcW w:w="1640" w:type="dxa"/>
            <w:vAlign w:val="bottom"/>
            <w:gridSpan w:val="3"/>
          </w:tcPr>
          <w:p>
            <w:pPr>
              <w:ind w:left="380"/>
              <w:spacing w:after="0" w:line="176" w:lineRule="exact"/>
              <w:rPr>
                <w:sz w:val="20"/>
                <w:szCs w:val="20"/>
                <w:color w:val="auto"/>
              </w:rPr>
            </w:pPr>
            <w:r>
              <w:rPr>
                <w:rFonts w:ascii="Arial" w:cs="Arial" w:eastAsia="Arial" w:hAnsi="Arial"/>
                <w:sz w:val="17"/>
                <w:szCs w:val="17"/>
                <w:color w:val="auto"/>
              </w:rPr>
              <w:t>001-38865</w:t>
            </w:r>
          </w:p>
        </w:tc>
        <w:tc>
          <w:tcPr>
            <w:tcW w:w="100" w:type="dxa"/>
            <w:vAlign w:val="bottom"/>
          </w:tcPr>
          <w:p>
            <w:pPr>
              <w:spacing w:after="0"/>
              <w:rPr>
                <w:sz w:val="15"/>
                <w:szCs w:val="15"/>
                <w:color w:val="auto"/>
              </w:rPr>
            </w:pPr>
          </w:p>
        </w:tc>
        <w:tc>
          <w:tcPr>
            <w:tcW w:w="1280" w:type="dxa"/>
            <w:vAlign w:val="bottom"/>
          </w:tcPr>
          <w:p>
            <w:pPr>
              <w:jc w:val="center"/>
              <w:ind w:right="93"/>
              <w:spacing w:after="0" w:line="176" w:lineRule="exact"/>
              <w:rPr>
                <w:sz w:val="20"/>
                <w:szCs w:val="20"/>
                <w:color w:val="auto"/>
              </w:rPr>
            </w:pPr>
            <w:r>
              <w:rPr>
                <w:rFonts w:ascii="Arial" w:cs="Arial" w:eastAsia="Arial" w:hAnsi="Arial"/>
                <w:sz w:val="17"/>
                <w:szCs w:val="17"/>
                <w:color w:val="auto"/>
                <w:w w:val="92"/>
              </w:rPr>
              <w:t>3.1</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color w:val="auto"/>
                <w:w w:val="97"/>
              </w:rPr>
              <w:t>April 23, 2019</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760" w:type="dxa"/>
            <w:vAlign w:val="bottom"/>
            <w:tcBorders>
              <w:top w:val="single" w:sz="8" w:color="0000FF"/>
            </w:tcBorders>
            <w:gridSpan w:val="13"/>
          </w:tcPr>
          <w:p>
            <w:pPr>
              <w:spacing w:after="0" w:line="150" w:lineRule="exact"/>
              <w:rPr>
                <w:rFonts w:ascii="Arial" w:cs="Arial" w:eastAsia="Arial" w:hAnsi="Arial"/>
                <w:sz w:val="17"/>
                <w:szCs w:val="17"/>
                <w:color w:val="0000FF"/>
              </w:rPr>
            </w:pPr>
            <w:hyperlink r:id="rId16">
              <w:r>
                <w:rPr>
                  <w:rFonts w:ascii="Arial" w:cs="Arial" w:eastAsia="Arial" w:hAnsi="Arial"/>
                  <w:sz w:val="17"/>
                  <w:szCs w:val="17"/>
                  <w:color w:val="0000FF"/>
                </w:rPr>
                <w:t>Zoom Video Communications, Inc</w:t>
              </w:r>
              <w:r>
                <w:rPr>
                  <w:rFonts w:ascii="Arial" w:cs="Arial" w:eastAsia="Arial" w:hAnsi="Arial"/>
                  <w:sz w:val="17"/>
                  <w:szCs w:val="17"/>
                  <w:color w:val="000000"/>
                </w:rPr>
                <w:t>.</w:t>
              </w:r>
            </w:hyperlink>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74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4.2</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rPr>
            </w:pPr>
            <w:hyperlink r:id="rId17">
              <w:r>
                <w:rPr>
                  <w:rFonts w:ascii="Arial" w:cs="Arial" w:eastAsia="Arial" w:hAnsi="Arial"/>
                  <w:sz w:val="17"/>
                  <w:szCs w:val="17"/>
                  <w:color w:val="0000FF"/>
                </w:rPr>
                <w:t>Amended and Restated Bylaws of Zoom Video</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7"/>
                <w:szCs w:val="17"/>
                <w:color w:val="auto"/>
                <w:w w:val="92"/>
              </w:rPr>
              <w:t>3.4</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80" w:type="dxa"/>
            <w:vAlign w:val="bottom"/>
            <w:tcBorders>
              <w:top w:val="single" w:sz="8" w:color="0000FF"/>
            </w:tcBorders>
            <w:gridSpan w:val="10"/>
          </w:tcPr>
          <w:p>
            <w:pPr>
              <w:spacing w:after="0" w:line="150" w:lineRule="exact"/>
              <w:rPr>
                <w:rFonts w:ascii="Arial" w:cs="Arial" w:eastAsia="Arial" w:hAnsi="Arial"/>
                <w:sz w:val="17"/>
                <w:szCs w:val="17"/>
                <w:color w:val="0000FF"/>
              </w:rPr>
            </w:pPr>
            <w:hyperlink r:id="rId17">
              <w:r>
                <w:rPr>
                  <w:rFonts w:ascii="Arial" w:cs="Arial" w:eastAsia="Arial" w:hAnsi="Arial"/>
                  <w:sz w:val="17"/>
                  <w:szCs w:val="17"/>
                  <w:color w:val="0000FF"/>
                </w:rPr>
                <w:t>Communications, Inc.</w:t>
              </w:r>
            </w:hyperlink>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4.3</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rPr>
            </w:pPr>
            <w:hyperlink r:id="rId18">
              <w:r>
                <w:rPr>
                  <w:rFonts w:ascii="Arial" w:cs="Arial" w:eastAsia="Arial" w:hAnsi="Arial"/>
                  <w:sz w:val="17"/>
                  <w:szCs w:val="17"/>
                  <w:color w:val="0000FF"/>
                </w:rPr>
                <w:t>Form of Class A common stock certificate of the</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7"/>
                <w:szCs w:val="17"/>
                <w:color w:val="auto"/>
                <w:w w:val="92"/>
              </w:rPr>
              <w:t>4.1</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0" w:type="dxa"/>
            <w:vAlign w:val="bottom"/>
            <w:tcBorders>
              <w:top w:val="single" w:sz="8" w:color="0000FF"/>
            </w:tcBorders>
            <w:gridSpan w:val="11"/>
          </w:tcPr>
          <w:p>
            <w:pPr>
              <w:spacing w:after="0" w:line="150" w:lineRule="exact"/>
              <w:rPr>
                <w:rFonts w:ascii="Arial" w:cs="Arial" w:eastAsia="Arial" w:hAnsi="Arial"/>
                <w:sz w:val="17"/>
                <w:szCs w:val="17"/>
                <w:color w:val="0000FF"/>
              </w:rPr>
            </w:pPr>
            <w:hyperlink r:id="rId18">
              <w:r>
                <w:rPr>
                  <w:rFonts w:ascii="Arial" w:cs="Arial" w:eastAsia="Arial" w:hAnsi="Arial"/>
                  <w:sz w:val="17"/>
                  <w:szCs w:val="17"/>
                  <w:color w:val="0000FF"/>
                </w:rPr>
                <w:t>Registrant.</w:t>
              </w:r>
            </w:hyperlink>
          </w:p>
        </w:tc>
        <w:tc>
          <w:tcPr>
            <w:tcW w:w="60" w:type="dxa"/>
            <w:vAlign w:val="bottom"/>
          </w:tcPr>
          <w:p>
            <w:pPr>
              <w:spacing w:after="0"/>
              <w:rPr>
                <w:sz w:val="13"/>
                <w:szCs w:val="13"/>
                <w:color w:val="auto"/>
              </w:rPr>
            </w:pPr>
          </w:p>
        </w:tc>
        <w:tc>
          <w:tcPr>
            <w:tcW w:w="400" w:type="dxa"/>
            <w:vAlign w:val="bottom"/>
            <w:gridSpan w:val="2"/>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vMerge w:val="restart"/>
          </w:tcPr>
          <w:p>
            <w:pPr>
              <w:ind w:left="20"/>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4220" w:type="dxa"/>
            <w:vAlign w:val="bottom"/>
            <w:gridSpan w:val="19"/>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Opinion of Cooley LLP.</w:t>
              </w:r>
            </w:hyperlink>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1060" w:type="dxa"/>
            <w:vAlign w:val="bottom"/>
          </w:tcPr>
          <w:p>
            <w:pPr>
              <w:ind w:left="20"/>
              <w:spacing w:after="0"/>
              <w:rPr>
                <w:sz w:val="20"/>
                <w:szCs w:val="20"/>
                <w:color w:val="auto"/>
              </w:rPr>
            </w:pPr>
            <w:r>
              <w:rPr>
                <w:rFonts w:ascii="Arial" w:cs="Arial" w:eastAsia="Arial" w:hAnsi="Arial"/>
                <w:sz w:val="17"/>
                <w:szCs w:val="17"/>
                <w:color w:val="auto"/>
              </w:rPr>
              <w:t>23.1*</w:t>
            </w:r>
          </w:p>
        </w:tc>
        <w:tc>
          <w:tcPr>
            <w:tcW w:w="100" w:type="dxa"/>
            <w:vAlign w:val="bottom"/>
          </w:tcPr>
          <w:p>
            <w:pPr>
              <w:spacing w:after="0"/>
              <w:rPr>
                <w:sz w:val="19"/>
                <w:szCs w:val="19"/>
                <w:color w:val="auto"/>
              </w:rPr>
            </w:pPr>
          </w:p>
        </w:tc>
        <w:tc>
          <w:tcPr>
            <w:tcW w:w="4220" w:type="dxa"/>
            <w:vAlign w:val="bottom"/>
            <w:gridSpan w:val="19"/>
          </w:tcPr>
          <w:p>
            <w:pPr>
              <w:spacing w:after="0"/>
              <w:rPr>
                <w:rFonts w:ascii="Arial" w:cs="Arial" w:eastAsia="Arial" w:hAnsi="Arial"/>
                <w:sz w:val="17"/>
                <w:szCs w:val="17"/>
                <w:color w:val="0000FF"/>
              </w:rPr>
            </w:pPr>
            <w:hyperlink w:anchor="page8">
              <w:r>
                <w:rPr>
                  <w:rFonts w:ascii="Arial" w:cs="Arial" w:eastAsia="Arial" w:hAnsi="Arial"/>
                  <w:sz w:val="17"/>
                  <w:szCs w:val="17"/>
                  <w:color w:val="0000FF"/>
                </w:rPr>
                <w:t>Consent of Cooley LLP (included in Exhibit 5.1).</w:t>
              </w:r>
            </w:hyperlink>
          </w:p>
        </w:tc>
        <w:tc>
          <w:tcPr>
            <w:tcW w:w="7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4"/>
            <w:shd w:val="clear" w:color="auto" w:fill="0000FF"/>
          </w:tcPr>
          <w:p>
            <w:pPr>
              <w:spacing w:after="0" w:line="20" w:lineRule="exact"/>
              <w:rPr>
                <w:sz w:val="1"/>
                <w:szCs w:val="1"/>
                <w:color w:val="auto"/>
              </w:rPr>
            </w:pPr>
          </w:p>
        </w:tc>
        <w:tc>
          <w:tcPr>
            <w:tcW w:w="560" w:type="dxa"/>
            <w:vAlign w:val="bottom"/>
            <w:gridSpan w:val="3"/>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1060" w:type="dxa"/>
            <w:vAlign w:val="bottom"/>
          </w:tcPr>
          <w:p>
            <w:pPr>
              <w:ind w:left="20"/>
              <w:spacing w:after="0"/>
              <w:rPr>
                <w:sz w:val="20"/>
                <w:szCs w:val="20"/>
                <w:color w:val="auto"/>
              </w:rPr>
            </w:pPr>
            <w:r>
              <w:rPr>
                <w:rFonts w:ascii="Arial" w:cs="Arial" w:eastAsia="Arial" w:hAnsi="Arial"/>
                <w:sz w:val="17"/>
                <w:szCs w:val="17"/>
                <w:color w:val="auto"/>
              </w:rPr>
              <w:t>23.2*</w:t>
            </w:r>
          </w:p>
        </w:tc>
        <w:tc>
          <w:tcPr>
            <w:tcW w:w="100" w:type="dxa"/>
            <w:vAlign w:val="bottom"/>
          </w:tcPr>
          <w:p>
            <w:pPr>
              <w:spacing w:after="0"/>
              <w:rPr>
                <w:sz w:val="18"/>
                <w:szCs w:val="18"/>
                <w:color w:val="auto"/>
              </w:rPr>
            </w:pPr>
          </w:p>
        </w:tc>
        <w:tc>
          <w:tcPr>
            <w:tcW w:w="4220" w:type="dxa"/>
            <w:vAlign w:val="bottom"/>
            <w:gridSpan w:val="19"/>
          </w:tcPr>
          <w:p>
            <w:pPr>
              <w:spacing w:after="0"/>
              <w:rPr>
                <w:rFonts w:ascii="Arial" w:cs="Arial" w:eastAsia="Arial" w:hAnsi="Arial"/>
                <w:sz w:val="17"/>
                <w:szCs w:val="17"/>
                <w:color w:val="0000FF"/>
              </w:rPr>
            </w:pPr>
            <w:hyperlink w:anchor="page9">
              <w:r>
                <w:rPr>
                  <w:rFonts w:ascii="Arial" w:cs="Arial" w:eastAsia="Arial" w:hAnsi="Arial"/>
                  <w:sz w:val="17"/>
                  <w:szCs w:val="17"/>
                  <w:color w:val="0000FF"/>
                </w:rPr>
                <w:t>Consent of KPMG LLP, Independent Registered Public</w:t>
              </w:r>
            </w:hyperlink>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60" w:type="dxa"/>
            <w:vAlign w:val="bottom"/>
            <w:tcBorders>
              <w:top w:val="single" w:sz="8" w:color="0000FF"/>
            </w:tcBorders>
            <w:gridSpan w:val="14"/>
          </w:tcPr>
          <w:p>
            <w:pPr>
              <w:spacing w:after="0" w:line="150" w:lineRule="exact"/>
              <w:rPr>
                <w:rFonts w:ascii="Arial" w:cs="Arial" w:eastAsia="Arial" w:hAnsi="Arial"/>
                <w:sz w:val="17"/>
                <w:szCs w:val="17"/>
                <w:color w:val="0000FF"/>
              </w:rPr>
            </w:pPr>
            <w:hyperlink w:anchor="page9">
              <w:r>
                <w:rPr>
                  <w:rFonts w:ascii="Arial" w:cs="Arial" w:eastAsia="Arial" w:hAnsi="Arial"/>
                  <w:sz w:val="17"/>
                  <w:szCs w:val="17"/>
                  <w:color w:val="0000FF"/>
                </w:rPr>
                <w:t>Accounting Firm.</w:t>
              </w:r>
            </w:hyperlink>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gridSpan w:val="2"/>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60" w:type="dxa"/>
            <w:vAlign w:val="bottom"/>
            <w:gridSpan w:val="4"/>
          </w:tcPr>
          <w:p>
            <w:pPr>
              <w:spacing w:after="0" w:line="20" w:lineRule="exact"/>
              <w:rPr>
                <w:sz w:val="1"/>
                <w:szCs w:val="1"/>
                <w:color w:val="auto"/>
              </w:rPr>
            </w:pPr>
          </w:p>
        </w:tc>
        <w:tc>
          <w:tcPr>
            <w:tcW w:w="110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24.1*</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w w:val="98"/>
              </w:rPr>
            </w:pPr>
            <w:hyperlink w:anchor="page4">
              <w:r>
                <w:rPr>
                  <w:rFonts w:ascii="Arial" w:cs="Arial" w:eastAsia="Arial" w:hAnsi="Arial"/>
                  <w:sz w:val="17"/>
                  <w:szCs w:val="17"/>
                  <w:color w:val="0000FF"/>
                  <w:w w:val="98"/>
                </w:rPr>
                <w:t>Power of Attorney (included on the signature page of this</w:t>
              </w:r>
            </w:hyperlink>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80" w:type="dxa"/>
            <w:vAlign w:val="bottom"/>
            <w:tcBorders>
              <w:top w:val="single" w:sz="8" w:color="0000FF"/>
              <w:bottom w:val="single" w:sz="8" w:color="0000FF"/>
            </w:tcBorders>
            <w:gridSpan w:val="2"/>
          </w:tcPr>
          <w:p>
            <w:pPr>
              <w:spacing w:after="0" w:line="150" w:lineRule="exact"/>
              <w:rPr>
                <w:rFonts w:ascii="Arial" w:cs="Arial" w:eastAsia="Arial" w:hAnsi="Arial"/>
                <w:sz w:val="17"/>
                <w:szCs w:val="17"/>
                <w:color w:val="0000FF"/>
                <w:w w:val="93"/>
              </w:rPr>
            </w:pPr>
            <w:hyperlink w:anchor="page4">
              <w:r>
                <w:rPr>
                  <w:rFonts w:ascii="Arial" w:cs="Arial" w:eastAsia="Arial" w:hAnsi="Arial"/>
                  <w:sz w:val="17"/>
                  <w:szCs w:val="17"/>
                  <w:color w:val="0000FF"/>
                  <w:w w:val="93"/>
                </w:rPr>
                <w:t>Form S-8).</w:t>
              </w:r>
            </w:hyperlink>
          </w:p>
        </w:tc>
        <w:tc>
          <w:tcPr>
            <w:tcW w:w="3220" w:type="dxa"/>
            <w:vAlign w:val="bottom"/>
            <w:tcBorders>
              <w:top w:val="single" w:sz="8" w:color="0000FF"/>
            </w:tcBorders>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99.1</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w w:val="98"/>
              </w:rPr>
            </w:pPr>
            <w:hyperlink r:id="rId19">
              <w:r>
                <w:rPr>
                  <w:rFonts w:ascii="Arial" w:cs="Arial" w:eastAsia="Arial" w:hAnsi="Arial"/>
                  <w:sz w:val="17"/>
                  <w:szCs w:val="17"/>
                  <w:color w:val="0000FF"/>
                  <w:w w:val="98"/>
                </w:rPr>
                <w:t>Zoom Video Communications, Inc. 2019 Equity Incentive</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7"/>
                <w:szCs w:val="17"/>
                <w:color w:val="auto"/>
                <w:w w:val="90"/>
              </w:rPr>
              <w:t>10.2</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60" w:type="dxa"/>
            <w:vAlign w:val="bottom"/>
            <w:tcBorders>
              <w:top w:val="single" w:sz="8" w:color="0000FF"/>
            </w:tcBorders>
            <w:gridSpan w:val="17"/>
          </w:tcPr>
          <w:p>
            <w:pPr>
              <w:spacing w:after="0" w:line="150" w:lineRule="exact"/>
              <w:rPr>
                <w:rFonts w:ascii="Arial" w:cs="Arial" w:eastAsia="Arial" w:hAnsi="Arial"/>
                <w:sz w:val="17"/>
                <w:szCs w:val="17"/>
                <w:color w:val="0000FF"/>
              </w:rPr>
            </w:pPr>
            <w:hyperlink r:id="rId19">
              <w:r>
                <w:rPr>
                  <w:rFonts w:ascii="Arial" w:cs="Arial" w:eastAsia="Arial" w:hAnsi="Arial"/>
                  <w:sz w:val="17"/>
                  <w:szCs w:val="17"/>
                  <w:color w:val="0000FF"/>
                </w:rPr>
                <w:t>Plan and forms of agreements thereunder.</w:t>
              </w:r>
            </w:hyperlink>
          </w:p>
        </w:tc>
        <w:tc>
          <w:tcPr>
            <w:tcW w:w="160" w:type="dxa"/>
            <w:vAlign w:val="bottom"/>
            <w:gridSpan w:val="2"/>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3"/>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760" w:type="dxa"/>
            <w:vAlign w:val="bottom"/>
            <w:gridSpan w:val="5"/>
            <w:shd w:val="clear" w:color="auto" w:fill="0000FF"/>
          </w:tcPr>
          <w:p>
            <w:pPr>
              <w:spacing w:after="0" w:line="20" w:lineRule="exact"/>
              <w:rPr>
                <w:sz w:val="1"/>
                <w:szCs w:val="1"/>
                <w:color w:val="auto"/>
              </w:rPr>
            </w:pPr>
          </w:p>
        </w:tc>
        <w:tc>
          <w:tcPr>
            <w:tcW w:w="1140" w:type="dxa"/>
            <w:vAlign w:val="bottom"/>
            <w:gridSpan w:val="7"/>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99.2</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w w:val="97"/>
              </w:rPr>
            </w:pPr>
            <w:hyperlink r:id="rId20">
              <w:r>
                <w:rPr>
                  <w:rFonts w:ascii="Arial" w:cs="Arial" w:eastAsia="Arial" w:hAnsi="Arial"/>
                  <w:sz w:val="17"/>
                  <w:szCs w:val="17"/>
                  <w:color w:val="0000FF"/>
                  <w:w w:val="97"/>
                </w:rPr>
                <w:t>Zoom Video Communications, Inc. 2019 Employee Stock</w:t>
              </w:r>
            </w:hyperlink>
          </w:p>
        </w:tc>
        <w:tc>
          <w:tcPr>
            <w:tcW w:w="760" w:type="dxa"/>
            <w:vAlign w:val="bottom"/>
          </w:tcPr>
          <w:p>
            <w:pPr>
              <w:jc w:val="center"/>
              <w:ind w:left="213"/>
              <w:spacing w:after="0"/>
              <w:rPr>
                <w:sz w:val="20"/>
                <w:szCs w:val="20"/>
                <w:color w:val="auto"/>
              </w:rPr>
            </w:pPr>
            <w:r>
              <w:rPr>
                <w:rFonts w:ascii="Arial" w:cs="Arial" w:eastAsia="Arial" w:hAnsi="Arial"/>
                <w:sz w:val="17"/>
                <w:szCs w:val="17"/>
                <w:color w:val="auto"/>
                <w:w w:val="98"/>
              </w:rPr>
              <w:t>S-1/A</w:t>
            </w:r>
          </w:p>
        </w:tc>
        <w:tc>
          <w:tcPr>
            <w:tcW w:w="1640" w:type="dxa"/>
            <w:vAlign w:val="bottom"/>
            <w:gridSpan w:val="3"/>
          </w:tcPr>
          <w:p>
            <w:pPr>
              <w:ind w:left="380"/>
              <w:spacing w:after="0"/>
              <w:rPr>
                <w:sz w:val="20"/>
                <w:szCs w:val="20"/>
                <w:color w:val="auto"/>
              </w:rPr>
            </w:pPr>
            <w:r>
              <w:rPr>
                <w:rFonts w:ascii="Arial" w:cs="Arial" w:eastAsia="Arial" w:hAnsi="Arial"/>
                <w:sz w:val="17"/>
                <w:szCs w:val="17"/>
                <w:color w:val="auto"/>
              </w:rPr>
              <w:t>333-230444</w:t>
            </w:r>
          </w:p>
        </w:tc>
        <w:tc>
          <w:tcPr>
            <w:tcW w:w="100" w:type="dxa"/>
            <w:vAlign w:val="bottom"/>
          </w:tcPr>
          <w:p>
            <w:pPr>
              <w:spacing w:after="0"/>
              <w:rPr>
                <w:sz w:val="17"/>
                <w:szCs w:val="17"/>
                <w:color w:val="auto"/>
              </w:rPr>
            </w:pPr>
          </w:p>
        </w:tc>
        <w:tc>
          <w:tcPr>
            <w:tcW w:w="1280" w:type="dxa"/>
            <w:vAlign w:val="bottom"/>
          </w:tcPr>
          <w:p>
            <w:pPr>
              <w:jc w:val="center"/>
              <w:ind w:right="93"/>
              <w:spacing w:after="0"/>
              <w:rPr>
                <w:sz w:val="20"/>
                <w:szCs w:val="20"/>
                <w:color w:val="auto"/>
              </w:rPr>
            </w:pPr>
            <w:r>
              <w:rPr>
                <w:rFonts w:ascii="Arial" w:cs="Arial" w:eastAsia="Arial" w:hAnsi="Arial"/>
                <w:sz w:val="17"/>
                <w:szCs w:val="17"/>
                <w:color w:val="auto"/>
                <w:w w:val="90"/>
              </w:rPr>
              <w:t>10.3</w:t>
            </w:r>
          </w:p>
        </w:tc>
        <w:tc>
          <w:tcPr>
            <w:tcW w:w="2080" w:type="dxa"/>
            <w:vAlign w:val="bottom"/>
            <w:vMerge w:val="restart"/>
          </w:tcPr>
          <w:p>
            <w:pPr>
              <w:jc w:val="center"/>
              <w:ind w:right="93"/>
              <w:spacing w:after="0"/>
              <w:rPr>
                <w:sz w:val="20"/>
                <w:szCs w:val="20"/>
                <w:color w:val="auto"/>
              </w:rPr>
            </w:pPr>
            <w:r>
              <w:rPr>
                <w:rFonts w:ascii="Arial" w:cs="Arial" w:eastAsia="Arial" w:hAnsi="Arial"/>
                <w:sz w:val="17"/>
                <w:szCs w:val="17"/>
                <w:color w:val="auto"/>
                <w:w w:val="98"/>
              </w:rPr>
              <w:t>April 8, 2019</w:t>
            </w:r>
          </w:p>
        </w:tc>
        <w:tc>
          <w:tcPr>
            <w:tcW w:w="0" w:type="dxa"/>
            <w:vAlign w:val="bottom"/>
          </w:tcPr>
          <w:p>
            <w:pPr>
              <w:spacing w:after="0"/>
              <w:rPr>
                <w:sz w:val="1"/>
                <w:szCs w:val="1"/>
                <w:color w:val="auto"/>
              </w:rPr>
            </w:pPr>
          </w:p>
        </w:tc>
      </w:tr>
      <w:tr>
        <w:trPr>
          <w:trHeight w:val="150"/>
        </w:trPr>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Borders>
              <w:top w:val="single" w:sz="8" w:color="0000FF"/>
              <w:bottom w:val="single" w:sz="8" w:color="0000FF"/>
            </w:tcBorders>
            <w:gridSpan w:val="3"/>
          </w:tcPr>
          <w:p>
            <w:pPr>
              <w:spacing w:after="0" w:line="150" w:lineRule="exact"/>
              <w:rPr>
                <w:rFonts w:ascii="Arial" w:cs="Arial" w:eastAsia="Arial" w:hAnsi="Arial"/>
                <w:sz w:val="17"/>
                <w:szCs w:val="17"/>
                <w:color w:val="0000FF"/>
                <w:w w:val="88"/>
              </w:rPr>
            </w:pPr>
            <w:hyperlink r:id="rId20">
              <w:r>
                <w:rPr>
                  <w:rFonts w:ascii="Arial" w:cs="Arial" w:eastAsia="Arial" w:hAnsi="Arial"/>
                  <w:sz w:val="17"/>
                  <w:szCs w:val="17"/>
                  <w:color w:val="0000FF"/>
                  <w:w w:val="88"/>
                </w:rPr>
                <w:t>Purchase Plan.</w:t>
              </w:r>
            </w:hyperlink>
          </w:p>
        </w:tc>
        <w:tc>
          <w:tcPr>
            <w:tcW w:w="3000" w:type="dxa"/>
            <w:vAlign w:val="bottom"/>
            <w:tcBorders>
              <w:top w:val="single" w:sz="8" w:color="0000FF"/>
            </w:tcBorders>
            <w:gridSpan w:val="13"/>
          </w:tcPr>
          <w:p>
            <w:pPr>
              <w:spacing w:after="0"/>
              <w:rPr>
                <w:sz w:val="13"/>
                <w:szCs w:val="13"/>
                <w:color w:val="auto"/>
              </w:rPr>
            </w:pPr>
          </w:p>
        </w:tc>
        <w:tc>
          <w:tcPr>
            <w:tcW w:w="180" w:type="dxa"/>
            <w:vAlign w:val="bottom"/>
            <w:gridSpan w:val="3"/>
          </w:tcPr>
          <w:p>
            <w:pPr>
              <w:spacing w:after="0"/>
              <w:rPr>
                <w:sz w:val="13"/>
                <w:szCs w:val="13"/>
                <w:color w:val="auto"/>
              </w:rPr>
            </w:pPr>
          </w:p>
        </w:tc>
        <w:tc>
          <w:tcPr>
            <w:tcW w:w="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2"/>
        </w:trPr>
        <w:tc>
          <w:tcPr>
            <w:tcW w:w="1060" w:type="dxa"/>
            <w:vAlign w:val="bottom"/>
          </w:tcPr>
          <w:p>
            <w:pPr>
              <w:ind w:left="20"/>
              <w:spacing w:after="0"/>
              <w:rPr>
                <w:sz w:val="20"/>
                <w:szCs w:val="20"/>
                <w:color w:val="auto"/>
              </w:rPr>
            </w:pPr>
            <w:r>
              <w:rPr>
                <w:rFonts w:ascii="Arial" w:cs="Arial" w:eastAsia="Arial" w:hAnsi="Arial"/>
                <w:sz w:val="17"/>
                <w:szCs w:val="17"/>
                <w:color w:val="auto"/>
              </w:rPr>
              <w:t>107*</w:t>
            </w:r>
          </w:p>
        </w:tc>
        <w:tc>
          <w:tcPr>
            <w:tcW w:w="100" w:type="dxa"/>
            <w:vAlign w:val="bottom"/>
          </w:tcPr>
          <w:p>
            <w:pPr>
              <w:spacing w:after="0"/>
              <w:rPr>
                <w:sz w:val="17"/>
                <w:szCs w:val="17"/>
                <w:color w:val="auto"/>
              </w:rPr>
            </w:pPr>
          </w:p>
        </w:tc>
        <w:tc>
          <w:tcPr>
            <w:tcW w:w="4220" w:type="dxa"/>
            <w:vAlign w:val="bottom"/>
            <w:gridSpan w:val="19"/>
          </w:tcPr>
          <w:p>
            <w:pPr>
              <w:spacing w:after="0"/>
              <w:rPr>
                <w:rFonts w:ascii="Arial" w:cs="Arial" w:eastAsia="Arial" w:hAnsi="Arial"/>
                <w:sz w:val="17"/>
                <w:szCs w:val="17"/>
                <w:color w:val="0000FF"/>
              </w:rPr>
            </w:pPr>
            <w:hyperlink w:anchor="page6">
              <w:r>
                <w:rPr>
                  <w:rFonts w:ascii="Arial" w:cs="Arial" w:eastAsia="Arial" w:hAnsi="Arial"/>
                  <w:sz w:val="17"/>
                  <w:szCs w:val="17"/>
                  <w:color w:val="0000FF"/>
                </w:rPr>
                <w:t>Filing Fee Table</w:t>
              </w:r>
            </w:hyperlink>
          </w:p>
        </w:tc>
        <w:tc>
          <w:tcPr>
            <w:tcW w:w="7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3"/>
        </w:trPr>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top w:val="single" w:sz="8" w:color="0000FF"/>
              <w:bottom w:val="single" w:sz="8" w:color="auto"/>
            </w:tcBorders>
          </w:tcPr>
          <w:p>
            <w:pPr>
              <w:spacing w:after="0"/>
              <w:rPr>
                <w:sz w:val="10"/>
                <w:szCs w:val="10"/>
                <w:color w:val="auto"/>
              </w:rPr>
            </w:pPr>
          </w:p>
        </w:tc>
        <w:tc>
          <w:tcPr>
            <w:tcW w:w="20" w:type="dxa"/>
            <w:vAlign w:val="bottom"/>
            <w:tcBorders>
              <w:top w:val="single" w:sz="8" w:color="0000FF"/>
              <w:bottom w:val="single" w:sz="8" w:color="auto"/>
            </w:tcBorders>
          </w:tcPr>
          <w:p>
            <w:pPr>
              <w:spacing w:after="0"/>
              <w:rPr>
                <w:sz w:val="10"/>
                <w:szCs w:val="10"/>
                <w:color w:val="auto"/>
              </w:rPr>
            </w:pPr>
          </w:p>
        </w:tc>
        <w:tc>
          <w:tcPr>
            <w:tcW w:w="260" w:type="dxa"/>
            <w:vAlign w:val="bottom"/>
            <w:tcBorders>
              <w:top w:val="single" w:sz="8" w:color="0000FF"/>
              <w:bottom w:val="single" w:sz="8" w:color="auto"/>
            </w:tcBorders>
          </w:tcPr>
          <w:p>
            <w:pPr>
              <w:spacing w:after="0"/>
              <w:rPr>
                <w:sz w:val="10"/>
                <w:szCs w:val="10"/>
                <w:color w:val="auto"/>
              </w:rPr>
            </w:pPr>
          </w:p>
        </w:tc>
        <w:tc>
          <w:tcPr>
            <w:tcW w:w="100" w:type="dxa"/>
            <w:vAlign w:val="bottom"/>
            <w:tcBorders>
              <w:top w:val="single" w:sz="8" w:color="0000FF"/>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48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4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0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left="80"/>
        <w:spacing w:after="0"/>
        <w:rPr>
          <w:sz w:val="20"/>
          <w:szCs w:val="20"/>
          <w:color w:val="auto"/>
        </w:rPr>
      </w:pPr>
      <w:r>
        <w:rPr>
          <w:rFonts w:ascii="Arial" w:cs="Arial" w:eastAsia="Arial" w:hAnsi="Arial"/>
          <w:sz w:val="17"/>
          <w:szCs w:val="17"/>
          <w:color w:val="auto"/>
        </w:rPr>
        <w:t>* Filed herewith</w:t>
      </w:r>
    </w:p>
    <w:p>
      <w:pPr>
        <w:sectPr>
          <w:pgSz w:w="11900" w:h="16838" w:orient="portrait"/>
          <w:cols w:equalWidth="0" w:num="1">
            <w:col w:w="11240"/>
          </w:cols>
          <w:pgMar w:left="320" w:top="1440" w:right="339" w:bottom="1440" w:gutter="0" w:footer="0" w:header="0"/>
        </w:sectPr>
      </w:pPr>
    </w:p>
    <w:bookmarkStart w:id="3" w:name="page4"/>
    <w:bookmarkEnd w:id="3"/>
    <w:p>
      <w:pPr>
        <w:spacing w:after="0" w:line="200" w:lineRule="exact"/>
        <w:rPr>
          <w:sz w:val="20"/>
          <w:szCs w:val="20"/>
          <w:color w:val="auto"/>
        </w:rPr>
      </w:pPr>
    </w:p>
    <w:p>
      <w:pPr>
        <w:spacing w:after="0" w:line="268"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SIGNATURES</w:t>
      </w:r>
    </w:p>
    <w:p>
      <w:pPr>
        <w:spacing w:after="0" w:line="228" w:lineRule="exact"/>
        <w:rPr>
          <w:sz w:val="20"/>
          <w:szCs w:val="20"/>
          <w:color w:val="auto"/>
        </w:rPr>
      </w:pPr>
    </w:p>
    <w:p>
      <w:pPr>
        <w:jc w:val="both"/>
        <w:ind w:right="100" w:firstLine="626"/>
        <w:spacing w:after="0" w:line="271" w:lineRule="auto"/>
        <w:rPr>
          <w:sz w:val="20"/>
          <w:szCs w:val="20"/>
          <w:color w:val="auto"/>
        </w:rPr>
      </w:pPr>
      <w:r>
        <w:rPr>
          <w:rFonts w:ascii="Arial" w:cs="Arial" w:eastAsia="Arial" w:hAnsi="Arial"/>
          <w:sz w:val="17"/>
          <w:szCs w:val="17"/>
          <w:color w:val="auto"/>
        </w:rPr>
        <w:t>Pursuant to the requirements of the Securities Act of 1933, as amended, the Registrant certifies that it has reasonable grounds to believe that it meets all of the requirements for filing on Form S-8 and has duly caused this registration statement to be signed on its behalf by the undersigned, thereunto duly authorized, in the City of San Jose, State of California, on this 7th day of March, 2022.</w:t>
      </w:r>
    </w:p>
    <w:p>
      <w:pPr>
        <w:spacing w:after="0" w:line="101" w:lineRule="exact"/>
        <w:rPr>
          <w:sz w:val="20"/>
          <w:szCs w:val="20"/>
          <w:color w:val="auto"/>
        </w:rPr>
      </w:pPr>
    </w:p>
    <w:p>
      <w:pPr>
        <w:ind w:left="7100"/>
        <w:spacing w:after="0"/>
        <w:rPr>
          <w:sz w:val="20"/>
          <w:szCs w:val="20"/>
          <w:color w:val="auto"/>
        </w:rPr>
      </w:pPr>
      <w:r>
        <w:rPr>
          <w:rFonts w:ascii="Arial" w:cs="Arial" w:eastAsia="Arial" w:hAnsi="Arial"/>
          <w:sz w:val="17"/>
          <w:szCs w:val="17"/>
          <w:b w:val="1"/>
          <w:bCs w:val="1"/>
          <w:color w:val="auto"/>
        </w:rPr>
        <w:t>ZOOM VIDEO COMMUNICATIONS, INC.</w:t>
      </w:r>
    </w:p>
    <w:p>
      <w:pPr>
        <w:spacing w:after="0" w:line="280" w:lineRule="exact"/>
        <w:rPr>
          <w:sz w:val="20"/>
          <w:szCs w:val="20"/>
          <w:color w:val="auto"/>
        </w:rPr>
      </w:pPr>
    </w:p>
    <w:tbl>
      <w:tblPr>
        <w:tblLayout w:type="fixed"/>
        <w:tblInd w:w="7100" w:type="dxa"/>
        <w:tblCellMar>
          <w:top w:w="0" w:type="dxa"/>
          <w:left w:w="0" w:type="dxa"/>
          <w:bottom w:w="0" w:type="dxa"/>
          <w:right w:w="0" w:type="dxa"/>
        </w:tblCellMar>
      </w:tblPr>
      <w:tr>
        <w:trPr>
          <w:trHeight w:val="221"/>
        </w:trPr>
        <w:tc>
          <w:tcPr>
            <w:tcW w:w="260" w:type="dxa"/>
            <w:vAlign w:val="bottom"/>
          </w:tcPr>
          <w:p>
            <w:pPr>
              <w:spacing w:after="0"/>
              <w:rPr>
                <w:sz w:val="20"/>
                <w:szCs w:val="20"/>
                <w:color w:val="auto"/>
              </w:rPr>
            </w:pPr>
            <w:r>
              <w:rPr>
                <w:rFonts w:ascii="Arial" w:cs="Arial" w:eastAsia="Arial" w:hAnsi="Arial"/>
                <w:sz w:val="17"/>
                <w:szCs w:val="17"/>
                <w:color w:val="auto"/>
                <w:w w:val="97"/>
              </w:rPr>
              <w:t>By:</w:t>
            </w:r>
          </w:p>
        </w:tc>
        <w:tc>
          <w:tcPr>
            <w:tcW w:w="3980" w:type="dxa"/>
            <w:vAlign w:val="bottom"/>
            <w:tcBorders>
              <w:bottom w:val="single" w:sz="8" w:color="auto"/>
            </w:tcBorders>
          </w:tcPr>
          <w:p>
            <w:pPr>
              <w:ind w:left="640"/>
              <w:spacing w:after="0"/>
              <w:rPr>
                <w:sz w:val="20"/>
                <w:szCs w:val="20"/>
                <w:color w:val="auto"/>
              </w:rPr>
            </w:pPr>
            <w:r>
              <w:rPr>
                <w:rFonts w:ascii="Arial" w:cs="Arial" w:eastAsia="Arial" w:hAnsi="Arial"/>
                <w:sz w:val="17"/>
                <w:szCs w:val="17"/>
                <w:color w:val="auto"/>
              </w:rPr>
              <w:t>/s/ Eric S. Yuan</w:t>
            </w:r>
          </w:p>
        </w:tc>
      </w:tr>
      <w:tr>
        <w:trPr>
          <w:trHeight w:val="215"/>
        </w:trPr>
        <w:tc>
          <w:tcPr>
            <w:tcW w:w="260" w:type="dxa"/>
            <w:vAlign w:val="bottom"/>
          </w:tcPr>
          <w:p>
            <w:pPr>
              <w:spacing w:after="0"/>
              <w:rPr>
                <w:sz w:val="18"/>
                <w:szCs w:val="18"/>
                <w:color w:val="auto"/>
              </w:rPr>
            </w:pPr>
          </w:p>
        </w:tc>
        <w:tc>
          <w:tcPr>
            <w:tcW w:w="3980" w:type="dxa"/>
            <w:vAlign w:val="bottom"/>
          </w:tcPr>
          <w:p>
            <w:pPr>
              <w:ind w:left="640"/>
              <w:spacing w:after="0"/>
              <w:rPr>
                <w:sz w:val="20"/>
                <w:szCs w:val="20"/>
                <w:color w:val="auto"/>
              </w:rPr>
            </w:pPr>
            <w:r>
              <w:rPr>
                <w:rFonts w:ascii="Arial" w:cs="Arial" w:eastAsia="Arial" w:hAnsi="Arial"/>
                <w:sz w:val="17"/>
                <w:szCs w:val="17"/>
                <w:color w:val="auto"/>
              </w:rPr>
              <w:t>Eric S. Yuan</w:t>
            </w:r>
          </w:p>
        </w:tc>
      </w:tr>
      <w:tr>
        <w:trPr>
          <w:trHeight w:val="222"/>
        </w:trPr>
        <w:tc>
          <w:tcPr>
            <w:tcW w:w="26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7"/>
                <w:szCs w:val="17"/>
                <w:color w:val="auto"/>
              </w:rPr>
              <w:t>President and Chief Executive Officer</w:t>
            </w:r>
          </w:p>
        </w:tc>
      </w:tr>
      <w:tr>
        <w:trPr>
          <w:trHeight w:val="222"/>
        </w:trPr>
        <w:tc>
          <w:tcPr>
            <w:tcW w:w="260" w:type="dxa"/>
            <w:vAlign w:val="bottom"/>
          </w:tcPr>
          <w:p>
            <w:pPr>
              <w:spacing w:after="0"/>
              <w:rPr>
                <w:sz w:val="19"/>
                <w:szCs w:val="19"/>
                <w:color w:val="auto"/>
              </w:rPr>
            </w:pPr>
          </w:p>
        </w:tc>
        <w:tc>
          <w:tcPr>
            <w:tcW w:w="3980" w:type="dxa"/>
            <w:vAlign w:val="bottom"/>
          </w:tcPr>
          <w:p>
            <w:pPr>
              <w:ind w:left="640"/>
              <w:spacing w:after="0"/>
              <w:rPr>
                <w:sz w:val="20"/>
                <w:szCs w:val="20"/>
                <w:color w:val="auto"/>
              </w:rPr>
            </w:pPr>
            <w:r>
              <w:rPr>
                <w:rFonts w:ascii="Arial" w:cs="Arial" w:eastAsia="Arial" w:hAnsi="Arial"/>
                <w:sz w:val="17"/>
                <w:szCs w:val="17"/>
                <w:i w:val="1"/>
                <w:iCs w:val="1"/>
                <w:color w:val="auto"/>
              </w:rPr>
              <w:t>(Principal Executive Officer)</w:t>
            </w:r>
          </w:p>
        </w:tc>
      </w:tr>
    </w:tbl>
    <w:p>
      <w:pPr>
        <w:sectPr>
          <w:pgSz w:w="11900" w:h="16838" w:orient="portrait"/>
          <w:cols w:equalWidth="0" w:num="1">
            <w:col w:w="11340"/>
          </w:cols>
          <w:pgMar w:left="320" w:top="144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POWER OF ATTORNEY</w:t>
      </w:r>
    </w:p>
    <w:p>
      <w:pPr>
        <w:spacing w:after="0" w:line="117" w:lineRule="exact"/>
        <w:rPr>
          <w:sz w:val="20"/>
          <w:szCs w:val="20"/>
          <w:color w:val="auto"/>
        </w:rPr>
      </w:pPr>
    </w:p>
    <w:p>
      <w:pPr>
        <w:jc w:val="both"/>
        <w:ind w:firstLine="626"/>
        <w:spacing w:after="0" w:line="281" w:lineRule="auto"/>
        <w:rPr>
          <w:sz w:val="20"/>
          <w:szCs w:val="20"/>
          <w:color w:val="auto"/>
        </w:rPr>
      </w:pPr>
      <w:r>
        <w:rPr>
          <w:rFonts w:ascii="Arial" w:cs="Arial" w:eastAsia="Arial" w:hAnsi="Arial"/>
          <w:sz w:val="16"/>
          <w:szCs w:val="16"/>
          <w:b w:val="1"/>
          <w:bCs w:val="1"/>
          <w:color w:val="auto"/>
        </w:rPr>
        <w:t>Know All Persons By These Presents</w:t>
      </w:r>
      <w:r>
        <w:rPr>
          <w:rFonts w:ascii="Arial" w:cs="Arial" w:eastAsia="Arial" w:hAnsi="Arial"/>
          <w:sz w:val="16"/>
          <w:szCs w:val="16"/>
          <w:color w:val="auto"/>
        </w:rPr>
        <w:t>, that each person whose signature appears below constitutes and appoints Eric S. Yuan, Kelly Steckelberg and</w:t>
      </w:r>
      <w:r>
        <w:rPr>
          <w:rFonts w:ascii="Arial" w:cs="Arial" w:eastAsia="Arial" w:hAnsi="Arial"/>
          <w:sz w:val="16"/>
          <w:szCs w:val="16"/>
          <w:b w:val="1"/>
          <w:bCs w:val="1"/>
          <w:color w:val="auto"/>
        </w:rPr>
        <w:t xml:space="preserve"> </w:t>
      </w:r>
      <w:r>
        <w:rPr>
          <w:rFonts w:ascii="Arial" w:cs="Arial" w:eastAsia="Arial" w:hAnsi="Arial"/>
          <w:sz w:val="16"/>
          <w:szCs w:val="16"/>
          <w:color w:val="auto"/>
        </w:rPr>
        <w:t>Aparna Bawa, and each of them, as his or her true and lawful attorneys-in-fact and agents, each with the full power of substitution, for him or her and in their name, place or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his, her or their substitute or substitutes, may lawfully do or cause to be done by virtue hereof.</w:t>
      </w:r>
    </w:p>
    <w:p>
      <w:pPr>
        <w:spacing w:after="0" w:line="63" w:lineRule="exact"/>
        <w:rPr>
          <w:sz w:val="20"/>
          <w:szCs w:val="20"/>
          <w:color w:val="auto"/>
        </w:rPr>
      </w:pPr>
    </w:p>
    <w:p>
      <w:pPr>
        <w:jc w:val="both"/>
        <w:ind w:firstLine="626"/>
        <w:spacing w:after="0" w:line="287" w:lineRule="auto"/>
        <w:rPr>
          <w:sz w:val="20"/>
          <w:szCs w:val="20"/>
          <w:color w:val="auto"/>
        </w:rPr>
      </w:pPr>
      <w:r>
        <w:rPr>
          <w:rFonts w:ascii="Arial" w:cs="Arial" w:eastAsia="Arial" w:hAnsi="Arial"/>
          <w:sz w:val="17"/>
          <w:szCs w:val="17"/>
          <w:color w:val="auto"/>
        </w:rPr>
        <w:t>Pursuant to the requirements of the Securities Act of 1933, this registration statement has been signed by the following persons in the capacities and on the dates indicated.</w:t>
      </w:r>
    </w:p>
    <w:p>
      <w:pPr>
        <w:sectPr>
          <w:pgSz w:w="11900" w:h="16838" w:orient="portrait"/>
          <w:cols w:equalWidth="0" w:num="1">
            <w:col w:w="11240"/>
          </w:cols>
          <w:pgMar w:left="320" w:top="1373" w:right="339" w:bottom="1440" w:gutter="0" w:footer="0" w:header="0"/>
        </w:sectPr>
      </w:pPr>
    </w:p>
    <w:p>
      <w:pPr>
        <w:spacing w:after="0" w:line="87" w:lineRule="exact"/>
        <w:rPr>
          <w:sz w:val="20"/>
          <w:szCs w:val="20"/>
          <w:color w:val="auto"/>
        </w:rPr>
      </w:pPr>
    </w:p>
    <w:p>
      <w:pPr>
        <w:ind w:left="1380"/>
        <w:spacing w:after="0"/>
        <w:rPr>
          <w:sz w:val="20"/>
          <w:szCs w:val="20"/>
          <w:color w:val="auto"/>
        </w:rPr>
      </w:pPr>
      <w:r>
        <w:rPr>
          <w:rFonts w:ascii="Arial" w:cs="Arial" w:eastAsia="Arial" w:hAnsi="Arial"/>
          <w:sz w:val="17"/>
          <w:szCs w:val="17"/>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20320</wp:posOffset>
            </wp:positionV>
            <wp:extent cx="221043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286"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Eric S. Yuan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Eric S. Yuan</w:t>
      </w:r>
    </w:p>
    <w:p>
      <w:pPr>
        <w:spacing w:after="0" w:line="287"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Kelly Steckelberg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Kelly Steckelberg</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Shane Crehan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4">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Shane Crehan</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Jonathan Chadwick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Jonathan Chadwick</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Carl M. Eschenbach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6">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Carl M. Eschenbach</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Peter Gassner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7">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Peter Gassner</w:t>
      </w:r>
    </w:p>
    <w:p>
      <w:pPr>
        <w:spacing w:after="0" w:line="300"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Kimberly L. Hammonds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8">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Kimberly L. Hammonds</w:t>
      </w:r>
    </w:p>
    <w:p>
      <w:pPr>
        <w:spacing w:after="0" w:line="23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William R. McDermott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9">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William R. McDermott</w:t>
      </w: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5"/>
          <w:szCs w:val="15"/>
          <w:color w:val="auto"/>
        </w:rPr>
        <w:t>/s/ Herbert Raymond McMaster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47625</wp:posOffset>
            </wp:positionV>
            <wp:extent cx="22104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0">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8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Herbert Raymond McMaster</w:t>
      </w:r>
    </w:p>
    <w:p>
      <w:pPr>
        <w:spacing w:after="0" w:line="261"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Janet Napolitano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Janet Napolitano</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Dan Scheinman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2">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45"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Dan Scheinman</w:t>
      </w:r>
    </w:p>
    <w:p>
      <w:pPr>
        <w:spacing w:after="0" w:line="274"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 Santiago Subotovsky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33020</wp:posOffset>
            </wp:positionV>
            <wp:extent cx="22104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3">
                      <a:extLst>
                        <a:ext uri="{28A0092B-C50C-407E-A947-70E740481C1C}"/>
                      </a:extLst>
                    </a:blip>
                    <a:srcRect/>
                    <a:stretch>
                      <a:fillRect/>
                    </a:stretch>
                  </pic:blipFill>
                  <pic:spPr bwMode="auto">
                    <a:xfrm>
                      <a:off x="0" y="0"/>
                      <a:ext cx="2210435" cy="8255"/>
                    </a:xfrm>
                    <a:prstGeom prst="rect">
                      <a:avLst/>
                    </a:prstGeom>
                    <a:noFill/>
                  </pic:spPr>
                </pic:pic>
              </a:graphicData>
            </a:graphic>
          </wp:anchor>
        </w:drawing>
      </w:r>
    </w:p>
    <w:p>
      <w:pPr>
        <w:spacing w:after="0" w:line="58" w:lineRule="exact"/>
        <w:rPr>
          <w:sz w:val="20"/>
          <w:szCs w:val="20"/>
          <w:color w:val="auto"/>
        </w:rPr>
      </w:pPr>
    </w:p>
    <w:p>
      <w:pPr>
        <w:jc w:val="center"/>
        <w:ind w:right="400"/>
        <w:spacing w:after="0"/>
        <w:rPr>
          <w:sz w:val="20"/>
          <w:szCs w:val="20"/>
          <w:color w:val="auto"/>
        </w:rPr>
      </w:pPr>
      <w:r>
        <w:rPr>
          <w:rFonts w:ascii="Arial" w:cs="Arial" w:eastAsia="Arial" w:hAnsi="Arial"/>
          <w:sz w:val="17"/>
          <w:szCs w:val="17"/>
          <w:color w:val="auto"/>
        </w:rPr>
        <w:t>Santiago Subotovsky</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jc w:val="center"/>
        <w:ind w:right="960"/>
        <w:spacing w:after="0"/>
        <w:rPr>
          <w:sz w:val="20"/>
          <w:szCs w:val="20"/>
          <w:color w:val="auto"/>
        </w:rPr>
      </w:pPr>
      <w:r>
        <w:rPr>
          <w:rFonts w:ascii="Arial" w:cs="Arial" w:eastAsia="Arial" w:hAnsi="Arial"/>
          <w:sz w:val="17"/>
          <w:szCs w:val="17"/>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20320</wp:posOffset>
            </wp:positionV>
            <wp:extent cx="31959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4">
                      <a:extLst>
                        <a:ext uri="{28A0092B-C50C-407E-A947-70E740481C1C}"/>
                      </a:extLst>
                    </a:blip>
                    <a:srcRect/>
                    <a:stretch>
                      <a:fillRect/>
                    </a:stretch>
                  </pic:blipFill>
                  <pic:spPr bwMode="auto">
                    <a:xfrm>
                      <a:off x="0" y="0"/>
                      <a:ext cx="3195955" cy="8255"/>
                    </a:xfrm>
                    <a:prstGeom prst="rect">
                      <a:avLst/>
                    </a:prstGeom>
                    <a:noFill/>
                  </pic:spPr>
                </pic:pic>
              </a:graphicData>
            </a:graphic>
          </wp:anchor>
        </w:drawing>
      </w:r>
    </w:p>
    <w:p>
      <w:pPr>
        <w:spacing w:after="0" w:line="312" w:lineRule="exact"/>
        <w:rPr>
          <w:sz w:val="20"/>
          <w:szCs w:val="20"/>
          <w:color w:val="auto"/>
        </w:rPr>
      </w:pPr>
    </w:p>
    <w:p>
      <w:pPr>
        <w:jc w:val="center"/>
        <w:ind w:right="960"/>
        <w:spacing w:after="0"/>
        <w:rPr>
          <w:sz w:val="20"/>
          <w:szCs w:val="20"/>
          <w:color w:val="auto"/>
        </w:rPr>
      </w:pPr>
      <w:r>
        <w:rPr>
          <w:rFonts w:ascii="Arial" w:cs="Arial" w:eastAsia="Arial" w:hAnsi="Arial"/>
          <w:sz w:val="16"/>
          <w:szCs w:val="16"/>
          <w:color w:val="auto"/>
        </w:rPr>
        <w:t>President, Chief Executive Officer and Director</w:t>
      </w:r>
    </w:p>
    <w:p>
      <w:pPr>
        <w:spacing w:after="0" w:line="37"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Executive Officer)</w:t>
      </w:r>
    </w:p>
    <w:p>
      <w:pPr>
        <w:spacing w:after="0" w:line="327"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Chief Financial Officer</w:t>
      </w:r>
    </w:p>
    <w:p>
      <w:pPr>
        <w:spacing w:after="0" w:line="25"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Financial Officer)</w:t>
      </w:r>
    </w:p>
    <w:p>
      <w:pPr>
        <w:spacing w:after="0" w:line="314"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Chief Accounting Officer</w:t>
      </w:r>
    </w:p>
    <w:p>
      <w:pPr>
        <w:spacing w:after="0" w:line="25" w:lineRule="exact"/>
        <w:rPr>
          <w:sz w:val="20"/>
          <w:szCs w:val="20"/>
          <w:color w:val="auto"/>
        </w:rPr>
      </w:pPr>
    </w:p>
    <w:p>
      <w:pPr>
        <w:jc w:val="center"/>
        <w:ind w:right="960"/>
        <w:spacing w:after="0"/>
        <w:rPr>
          <w:sz w:val="20"/>
          <w:szCs w:val="20"/>
          <w:color w:val="auto"/>
        </w:rPr>
      </w:pPr>
      <w:r>
        <w:rPr>
          <w:rFonts w:ascii="Arial" w:cs="Arial" w:eastAsia="Arial" w:hAnsi="Arial"/>
          <w:sz w:val="17"/>
          <w:szCs w:val="17"/>
          <w:i w:val="1"/>
          <w:iCs w:val="1"/>
          <w:color w:val="auto"/>
        </w:rPr>
        <w:t>(Principal Accounting Officer)</w:t>
      </w:r>
    </w:p>
    <w:p>
      <w:pPr>
        <w:spacing w:after="0" w:line="200" w:lineRule="exact"/>
        <w:rPr>
          <w:sz w:val="20"/>
          <w:szCs w:val="20"/>
          <w:color w:val="auto"/>
        </w:rPr>
      </w:pPr>
    </w:p>
    <w:p>
      <w:pPr>
        <w:spacing w:after="0" w:line="218"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48"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22"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09"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35"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0" w:lineRule="exact"/>
        <w:rPr>
          <w:sz w:val="20"/>
          <w:szCs w:val="20"/>
          <w:color w:val="auto"/>
        </w:rPr>
      </w:pPr>
    </w:p>
    <w:p>
      <w:pPr>
        <w:spacing w:after="0" w:line="361" w:lineRule="exact"/>
        <w:rPr>
          <w:sz w:val="20"/>
          <w:szCs w:val="20"/>
          <w:color w:val="auto"/>
        </w:rPr>
      </w:pPr>
    </w:p>
    <w:p>
      <w:pPr>
        <w:jc w:val="center"/>
        <w:ind w:right="960"/>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spacing w:after="0" w:line="67"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wp:posOffset>
            </wp:positionH>
            <wp:positionV relativeFrom="paragraph">
              <wp:posOffset>20320</wp:posOffset>
            </wp:positionV>
            <wp:extent cx="13411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5">
                      <a:extLst>
                        <a:ext uri="{28A0092B-C50C-407E-A947-70E740481C1C}"/>
                      </a:extLst>
                    </a:blip>
                    <a:srcRect/>
                    <a:stretch>
                      <a:fillRect/>
                    </a:stretch>
                  </pic:blipFill>
                  <pic:spPr bwMode="auto">
                    <a:xfrm>
                      <a:off x="0" y="0"/>
                      <a:ext cx="1341120"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58"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5"/>
          <w:szCs w:val="15"/>
          <w:color w:val="auto"/>
        </w:rPr>
        <w:t>March 7, 2022</w:t>
      </w:r>
    </w:p>
    <w:p>
      <w:pPr>
        <w:sectPr>
          <w:pgSz w:w="11900" w:h="16838" w:orient="portrait"/>
          <w:cols w:equalWidth="0" w:num="3">
            <w:col w:w="3900" w:space="720"/>
            <w:col w:w="4280" w:space="720"/>
            <w:col w:w="1620"/>
          </w:cols>
          <w:pgMar w:left="320" w:top="1373" w:right="339" w:bottom="1440" w:gutter="0" w:footer="0" w:header="0"/>
          <w:type w:val="continuous"/>
        </w:sectPr>
      </w:pPr>
    </w:p>
    <w:bookmarkStart w:id="5" w:name="page6"/>
    <w:bookmarkEnd w:id="5"/>
    <w:p>
      <w:pPr>
        <w:jc w:val="right"/>
        <w:spacing w:after="0"/>
        <w:rPr>
          <w:sz w:val="20"/>
          <w:szCs w:val="20"/>
          <w:color w:val="auto"/>
        </w:rPr>
      </w:pPr>
      <w:r>
        <w:rPr>
          <w:rFonts w:ascii="Arial" w:cs="Arial" w:eastAsia="Arial" w:hAnsi="Arial"/>
          <w:sz w:val="17"/>
          <w:szCs w:val="17"/>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Calculation of Filing Fee Tables</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Form S-8</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Zoom Video Communications,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165100</wp:posOffset>
            </wp:positionV>
            <wp:extent cx="5191125" cy="23266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6">
                      <a:extLst>
                        <a:ext uri="{28A0092B-C50C-407E-A947-70E740481C1C}"/>
                      </a:extLst>
                    </a:blip>
                    <a:srcRect/>
                    <a:stretch>
                      <a:fillRect/>
                    </a:stretch>
                  </pic:blipFill>
                  <pic:spPr bwMode="auto">
                    <a:xfrm>
                      <a:off x="0" y="0"/>
                      <a:ext cx="5191125" cy="2326640"/>
                    </a:xfrm>
                    <a:prstGeom prst="rect">
                      <a:avLst/>
                    </a:prstGeom>
                    <a:noFill/>
                  </pic:spPr>
                </pic:pic>
              </a:graphicData>
            </a:graphic>
          </wp:anchor>
        </w:drawing>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Table 1 – Newly Registered Securities</w:t>
      </w:r>
    </w:p>
    <w:p>
      <w:pPr>
        <w:spacing w:after="0" w:line="28" w:lineRule="exact"/>
        <w:rPr>
          <w:sz w:val="20"/>
          <w:szCs w:val="20"/>
          <w:color w:val="auto"/>
        </w:rPr>
      </w:pPr>
    </w:p>
    <w:tbl>
      <w:tblPr>
        <w:tblLayout w:type="fixed"/>
        <w:tblInd w:w="1540" w:type="dxa"/>
        <w:tblCellMar>
          <w:top w:w="0" w:type="dxa"/>
          <w:left w:w="0" w:type="dxa"/>
          <w:bottom w:w="0" w:type="dxa"/>
          <w:right w:w="0" w:type="dxa"/>
        </w:tblCellMar>
      </w:tblPr>
      <w:tr>
        <w:trPr>
          <w:trHeight w:val="221"/>
        </w:trPr>
        <w:tc>
          <w:tcPr>
            <w:tcW w:w="800" w:type="dxa"/>
            <w:vAlign w:val="bottom"/>
            <w:tcBorders>
              <w:top w:val="single" w:sz="8" w:color="auto"/>
              <w:right w:val="single" w:sz="8" w:color="auto"/>
            </w:tcBorders>
          </w:tcPr>
          <w:p>
            <w:pPr>
              <w:spacing w:after="0"/>
              <w:rPr>
                <w:sz w:val="19"/>
                <w:szCs w:val="19"/>
                <w:color w:val="auto"/>
              </w:rPr>
            </w:pPr>
          </w:p>
        </w:tc>
        <w:tc>
          <w:tcPr>
            <w:tcW w:w="980" w:type="dxa"/>
            <w:vAlign w:val="bottom"/>
            <w:tcBorders>
              <w:top w:val="single" w:sz="8" w:color="auto"/>
              <w:right w:val="single" w:sz="8" w:color="auto"/>
            </w:tcBorders>
          </w:tcPr>
          <w:p>
            <w:pPr>
              <w:spacing w:after="0"/>
              <w:rPr>
                <w:sz w:val="19"/>
                <w:szCs w:val="19"/>
                <w:color w:val="auto"/>
              </w:rPr>
            </w:pPr>
          </w:p>
        </w:tc>
        <w:tc>
          <w:tcPr>
            <w:tcW w:w="104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right w:val="single" w:sz="8" w:color="auto"/>
            </w:tcBorders>
          </w:tcPr>
          <w:p>
            <w:pPr>
              <w:spacing w:after="0"/>
              <w:rPr>
                <w:sz w:val="19"/>
                <w:szCs w:val="19"/>
                <w:color w:val="auto"/>
              </w:rPr>
            </w:pPr>
          </w:p>
        </w:tc>
        <w:tc>
          <w:tcPr>
            <w:tcW w:w="9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Proposed</w:t>
            </w:r>
          </w:p>
        </w:tc>
        <w:tc>
          <w:tcPr>
            <w:tcW w:w="1380" w:type="dxa"/>
            <w:vAlign w:val="bottom"/>
            <w:tcBorders>
              <w:top w:val="single" w:sz="8" w:color="auto"/>
              <w:right w:val="single" w:sz="8" w:color="auto"/>
            </w:tcBorders>
          </w:tcPr>
          <w:p>
            <w:pPr>
              <w:spacing w:after="0"/>
              <w:rPr>
                <w:sz w:val="19"/>
                <w:szCs w:val="19"/>
                <w:color w:val="auto"/>
              </w:rPr>
            </w:pPr>
          </w:p>
        </w:tc>
        <w:tc>
          <w:tcPr>
            <w:tcW w:w="820" w:type="dxa"/>
            <w:vAlign w:val="bottom"/>
            <w:tcBorders>
              <w:top w:val="single" w:sz="8" w:color="auto"/>
              <w:right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6"/>
              </w:rPr>
              <w:t>Fee</w:t>
            </w: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94"/>
              </w:rPr>
              <w:t>Maximum</w:t>
            </w:r>
          </w:p>
        </w:tc>
        <w:tc>
          <w:tcPr>
            <w:tcW w:w="820" w:type="dxa"/>
            <w:vAlign w:val="bottom"/>
            <w:tcBorders>
              <w:right w:val="single" w:sz="8" w:color="auto"/>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9"/>
              </w:rPr>
              <w:t>Amount of</w:t>
            </w:r>
          </w:p>
        </w:tc>
        <w:tc>
          <w:tcPr>
            <w:tcW w:w="0" w:type="dxa"/>
            <w:vAlign w:val="bottom"/>
          </w:tcPr>
          <w:p>
            <w:pPr>
              <w:spacing w:after="0"/>
              <w:rPr>
                <w:sz w:val="1"/>
                <w:szCs w:val="1"/>
                <w:color w:val="auto"/>
              </w:rPr>
            </w:pPr>
          </w:p>
        </w:tc>
      </w:tr>
      <w:tr>
        <w:trPr>
          <w:trHeight w:val="196"/>
        </w:trPr>
        <w:tc>
          <w:tcPr>
            <w:tcW w:w="800" w:type="dxa"/>
            <w:vAlign w:val="bottom"/>
            <w:tcBorders>
              <w:right w:val="single" w:sz="8" w:color="auto"/>
            </w:tcBorders>
          </w:tcPr>
          <w:p>
            <w:pPr>
              <w:ind w:left="120"/>
              <w:spacing w:after="0"/>
              <w:rPr>
                <w:sz w:val="20"/>
                <w:szCs w:val="20"/>
                <w:color w:val="auto"/>
              </w:rPr>
            </w:pPr>
            <w:r>
              <w:rPr>
                <w:rFonts w:ascii="Arial" w:cs="Arial" w:eastAsia="Arial" w:hAnsi="Arial"/>
                <w:sz w:val="16"/>
                <w:szCs w:val="16"/>
                <w:b w:val="1"/>
                <w:bCs w:val="1"/>
                <w:color w:val="auto"/>
              </w:rPr>
              <w:t>Security</w:t>
            </w:r>
          </w:p>
        </w:tc>
        <w:tc>
          <w:tcPr>
            <w:tcW w:w="980" w:type="dxa"/>
            <w:vAlign w:val="bottom"/>
            <w:tcBorders>
              <w:right w:val="single" w:sz="8" w:color="auto"/>
            </w:tcBorders>
          </w:tcPr>
          <w:p>
            <w:pPr>
              <w:ind w:left="200"/>
              <w:spacing w:after="0"/>
              <w:rPr>
                <w:sz w:val="20"/>
                <w:szCs w:val="20"/>
                <w:color w:val="auto"/>
              </w:rPr>
            </w:pPr>
            <w:r>
              <w:rPr>
                <w:rFonts w:ascii="Arial" w:cs="Arial" w:eastAsia="Arial" w:hAnsi="Arial"/>
                <w:sz w:val="16"/>
                <w:szCs w:val="16"/>
                <w:b w:val="1"/>
                <w:bCs w:val="1"/>
                <w:color w:val="auto"/>
              </w:rPr>
              <w:t>Security</w:t>
            </w:r>
          </w:p>
        </w:tc>
        <w:tc>
          <w:tcPr>
            <w:tcW w:w="104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8"/>
              </w:rPr>
              <w:t>Calculation</w:t>
            </w:r>
          </w:p>
        </w:tc>
        <w:tc>
          <w:tcPr>
            <w:tcW w:w="11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Amount</w:t>
            </w: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Price Per</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Aggregate Offering</w:t>
            </w:r>
          </w:p>
        </w:tc>
        <w:tc>
          <w:tcPr>
            <w:tcW w:w="820" w:type="dxa"/>
            <w:vAlign w:val="bottom"/>
            <w:tcBorders>
              <w:right w:val="single" w:sz="8" w:color="auto"/>
            </w:tcBorders>
          </w:tcPr>
          <w:p>
            <w:pPr>
              <w:spacing w:after="0"/>
              <w:rPr>
                <w:sz w:val="17"/>
                <w:szCs w:val="17"/>
                <w:color w:val="auto"/>
              </w:rPr>
            </w:pPr>
          </w:p>
        </w:tc>
        <w:tc>
          <w:tcPr>
            <w:tcW w:w="1100" w:type="dxa"/>
            <w:vAlign w:val="bottom"/>
          </w:tcPr>
          <w:p>
            <w:pPr>
              <w:jc w:val="center"/>
              <w:spacing w:after="0"/>
              <w:rPr>
                <w:sz w:val="20"/>
                <w:szCs w:val="20"/>
                <w:color w:val="auto"/>
              </w:rPr>
            </w:pPr>
            <w:r>
              <w:rPr>
                <w:rFonts w:ascii="Arial" w:cs="Arial" w:eastAsia="Arial" w:hAnsi="Arial"/>
                <w:sz w:val="16"/>
                <w:szCs w:val="16"/>
                <w:b w:val="1"/>
                <w:bCs w:val="1"/>
                <w:color w:val="auto"/>
                <w:w w:val="87"/>
              </w:rPr>
              <w:t>Registration</w:t>
            </w:r>
          </w:p>
        </w:tc>
        <w:tc>
          <w:tcPr>
            <w:tcW w:w="0" w:type="dxa"/>
            <w:vAlign w:val="bottom"/>
          </w:tcPr>
          <w:p>
            <w:pPr>
              <w:spacing w:after="0"/>
              <w:rPr>
                <w:sz w:val="1"/>
                <w:szCs w:val="1"/>
                <w:color w:val="auto"/>
              </w:rPr>
            </w:pPr>
          </w:p>
        </w:tc>
      </w:tr>
      <w:tr>
        <w:trPr>
          <w:trHeight w:val="27"/>
        </w:trPr>
        <w:tc>
          <w:tcPr>
            <w:tcW w:w="800" w:type="dxa"/>
            <w:vAlign w:val="bottom"/>
            <w:tcBorders>
              <w:right w:val="single" w:sz="8" w:color="auto"/>
            </w:tcBorders>
            <w:vMerge w:val="restart"/>
          </w:tcPr>
          <w:p>
            <w:pPr>
              <w:ind w:left="240"/>
              <w:spacing w:after="0"/>
              <w:rPr>
                <w:sz w:val="20"/>
                <w:szCs w:val="20"/>
                <w:color w:val="auto"/>
              </w:rPr>
            </w:pPr>
            <w:r>
              <w:rPr>
                <w:rFonts w:ascii="Arial" w:cs="Arial" w:eastAsia="Arial" w:hAnsi="Arial"/>
                <w:sz w:val="16"/>
                <w:szCs w:val="16"/>
                <w:b w:val="1"/>
                <w:bCs w:val="1"/>
                <w:color w:val="auto"/>
              </w:rPr>
              <w:t>Type</w:t>
            </w:r>
          </w:p>
        </w:tc>
        <w:tc>
          <w:tcPr>
            <w:tcW w:w="980" w:type="dxa"/>
            <w:vAlign w:val="bottom"/>
            <w:tcBorders>
              <w:right w:val="single" w:sz="8" w:color="auto"/>
            </w:tcBorders>
            <w:vMerge w:val="restart"/>
          </w:tcPr>
          <w:p>
            <w:pPr>
              <w:ind w:left="120"/>
              <w:spacing w:after="0"/>
              <w:rPr>
                <w:sz w:val="20"/>
                <w:szCs w:val="20"/>
                <w:color w:val="auto"/>
              </w:rPr>
            </w:pPr>
            <w:r>
              <w:rPr>
                <w:rFonts w:ascii="Arial" w:cs="Arial" w:eastAsia="Arial" w:hAnsi="Arial"/>
                <w:sz w:val="16"/>
                <w:szCs w:val="16"/>
                <w:b w:val="1"/>
                <w:bCs w:val="1"/>
                <w:color w:val="auto"/>
              </w:rPr>
              <w:t>Class Title</w:t>
            </w:r>
          </w:p>
        </w:tc>
        <w:tc>
          <w:tcPr>
            <w:tcW w:w="10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2"/>
              </w:rPr>
              <w:t>Rule</w:t>
            </w:r>
          </w:p>
        </w:tc>
        <w:tc>
          <w:tcPr>
            <w:tcW w:w="1100" w:type="dxa"/>
            <w:vAlign w:val="bottom"/>
            <w:tcBorders>
              <w:right w:val="single" w:sz="8" w:color="auto"/>
            </w:tcBorders>
            <w:vMerge w:val="continue"/>
          </w:tcPr>
          <w:p>
            <w:pPr>
              <w:spacing w:after="0"/>
              <w:rPr>
                <w:sz w:val="2"/>
                <w:szCs w:val="2"/>
                <w:color w:val="auto"/>
              </w:rPr>
            </w:pPr>
          </w:p>
        </w:tc>
        <w:tc>
          <w:tcPr>
            <w:tcW w:w="9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6"/>
              </w:rPr>
              <w:t>Unit</w:t>
            </w:r>
          </w:p>
        </w:tc>
        <w:tc>
          <w:tcPr>
            <w:tcW w:w="13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1"/>
              </w:rPr>
              <w:t>Price</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89"/>
              </w:rPr>
              <w:t>Fee Rate</w:t>
            </w:r>
          </w:p>
        </w:tc>
        <w:tc>
          <w:tcPr>
            <w:tcW w:w="110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86"/>
              </w:rPr>
              <w:t>Fee</w:t>
            </w:r>
          </w:p>
        </w:tc>
        <w:tc>
          <w:tcPr>
            <w:tcW w:w="0" w:type="dxa"/>
            <w:vAlign w:val="bottom"/>
          </w:tcPr>
          <w:p>
            <w:pPr>
              <w:spacing w:after="0" w:line="20" w:lineRule="exact"/>
              <w:rPr>
                <w:sz w:val="1"/>
                <w:szCs w:val="1"/>
                <w:color w:val="auto"/>
              </w:rPr>
            </w:pPr>
          </w:p>
        </w:tc>
      </w:tr>
      <w:tr>
        <w:trPr>
          <w:trHeight w:val="209"/>
        </w:trPr>
        <w:tc>
          <w:tcPr>
            <w:tcW w:w="800" w:type="dxa"/>
            <w:vAlign w:val="bottom"/>
            <w:tcBorders>
              <w:bottom w:val="single" w:sz="8" w:color="auto"/>
              <w:right w:val="single" w:sz="8" w:color="auto"/>
            </w:tcBorders>
            <w:vMerge w:val="continue"/>
          </w:tcPr>
          <w:p>
            <w:pPr>
              <w:spacing w:after="0"/>
              <w:rPr>
                <w:sz w:val="18"/>
                <w:szCs w:val="18"/>
                <w:color w:val="auto"/>
              </w:rPr>
            </w:pPr>
          </w:p>
        </w:tc>
        <w:tc>
          <w:tcPr>
            <w:tcW w:w="980" w:type="dxa"/>
            <w:vAlign w:val="bottom"/>
            <w:tcBorders>
              <w:bottom w:val="single" w:sz="8" w:color="auto"/>
              <w:right w:val="single" w:sz="8" w:color="auto"/>
            </w:tcBorders>
            <w:vMerge w:val="continue"/>
          </w:tcPr>
          <w:p>
            <w:pPr>
              <w:spacing w:after="0"/>
              <w:rPr>
                <w:sz w:val="18"/>
                <w:szCs w:val="18"/>
                <w:color w:val="auto"/>
              </w:rPr>
            </w:pPr>
          </w:p>
        </w:tc>
        <w:tc>
          <w:tcPr>
            <w:tcW w:w="104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right w:val="single" w:sz="8" w:color="auto"/>
            </w:tcBorders>
          </w:tcPr>
          <w:p>
            <w:pPr>
              <w:jc w:val="center"/>
              <w:spacing w:after="0" w:line="208" w:lineRule="exact"/>
              <w:rPr>
                <w:sz w:val="20"/>
                <w:szCs w:val="20"/>
                <w:color w:val="auto"/>
              </w:rPr>
            </w:pPr>
            <w:r>
              <w:rPr>
                <w:rFonts w:ascii="Arial" w:cs="Arial" w:eastAsia="Arial" w:hAnsi="Arial"/>
                <w:sz w:val="16"/>
                <w:szCs w:val="16"/>
                <w:b w:val="1"/>
                <w:bCs w:val="1"/>
                <w:color w:val="auto"/>
                <w:w w:val="82"/>
              </w:rPr>
              <w:t>Registered</w:t>
            </w:r>
            <w:r>
              <w:rPr>
                <w:rFonts w:ascii="Arial" w:cs="Arial" w:eastAsia="Arial" w:hAnsi="Arial"/>
                <w:sz w:val="20"/>
                <w:szCs w:val="20"/>
                <w:b w:val="1"/>
                <w:bCs w:val="1"/>
                <w:color w:val="auto"/>
                <w:w w:val="82"/>
                <w:vertAlign w:val="superscript"/>
              </w:rPr>
              <w:t>(1)</w:t>
            </w:r>
          </w:p>
        </w:tc>
        <w:tc>
          <w:tcPr>
            <w:tcW w:w="960" w:type="dxa"/>
            <w:vAlign w:val="bottom"/>
            <w:tcBorders>
              <w:bottom w:val="single" w:sz="8" w:color="auto"/>
              <w:right w:val="single" w:sz="8" w:color="auto"/>
            </w:tcBorders>
            <w:vMerge w:val="continue"/>
          </w:tcPr>
          <w:p>
            <w:pPr>
              <w:spacing w:after="0"/>
              <w:rPr>
                <w:sz w:val="18"/>
                <w:szCs w:val="18"/>
                <w:color w:val="auto"/>
              </w:rPr>
            </w:pPr>
          </w:p>
        </w:tc>
        <w:tc>
          <w:tcPr>
            <w:tcW w:w="1380" w:type="dxa"/>
            <w:vAlign w:val="bottom"/>
            <w:tcBorders>
              <w:bottom w:val="single" w:sz="8" w:color="auto"/>
              <w:right w:val="single" w:sz="8" w:color="auto"/>
            </w:tcBorders>
            <w:vMerge w:val="continue"/>
          </w:tcPr>
          <w:p>
            <w:pPr>
              <w:spacing w:after="0"/>
              <w:rPr>
                <w:sz w:val="18"/>
                <w:szCs w:val="18"/>
                <w:color w:val="auto"/>
              </w:rPr>
            </w:pPr>
          </w:p>
        </w:tc>
        <w:tc>
          <w:tcPr>
            <w:tcW w:w="820" w:type="dxa"/>
            <w:vAlign w:val="bottom"/>
            <w:tcBorders>
              <w:bottom w:val="single" w:sz="8" w:color="auto"/>
              <w:right w:val="single" w:sz="8" w:color="auto"/>
            </w:tcBorders>
            <w:vMerge w:val="continue"/>
          </w:tcPr>
          <w:p>
            <w:pPr>
              <w:spacing w:after="0"/>
              <w:rPr>
                <w:sz w:val="18"/>
                <w:szCs w:val="18"/>
                <w:color w:val="auto"/>
              </w:rPr>
            </w:pPr>
          </w:p>
        </w:tc>
        <w:tc>
          <w:tcPr>
            <w:tcW w:w="11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Equity</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Class A</w:t>
            </w:r>
          </w:p>
        </w:tc>
        <w:tc>
          <w:tcPr>
            <w:tcW w:w="10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6"/>
                <w:szCs w:val="16"/>
                <w:color w:val="auto"/>
                <w:w w:val="85"/>
              </w:rPr>
              <w:t>Other</w:t>
            </w:r>
            <w:r>
              <w:rPr>
                <w:rFonts w:ascii="Arial" w:cs="Arial" w:eastAsia="Arial" w:hAnsi="Arial"/>
                <w:sz w:val="20"/>
                <w:szCs w:val="20"/>
                <w:color w:val="auto"/>
                <w:w w:val="85"/>
                <w:vertAlign w:val="superscript"/>
              </w:rPr>
              <w:t>(2)</w:t>
            </w:r>
          </w:p>
        </w:tc>
        <w:tc>
          <w:tcPr>
            <w:tcW w:w="1100" w:type="dxa"/>
            <w:vAlign w:val="bottom"/>
            <w:tcBorders>
              <w:right w:val="single" w:sz="8" w:color="auto"/>
            </w:tcBorders>
          </w:tcPr>
          <w:p>
            <w:pPr>
              <w:jc w:val="center"/>
              <w:ind w:right="62"/>
              <w:spacing w:after="0" w:line="205" w:lineRule="exact"/>
              <w:rPr>
                <w:sz w:val="20"/>
                <w:szCs w:val="20"/>
                <w:color w:val="auto"/>
              </w:rPr>
            </w:pPr>
            <w:r>
              <w:rPr>
                <w:rFonts w:ascii="Arial" w:cs="Arial" w:eastAsia="Arial" w:hAnsi="Arial"/>
                <w:sz w:val="16"/>
                <w:szCs w:val="16"/>
                <w:color w:val="auto"/>
                <w:w w:val="95"/>
              </w:rPr>
              <w:t>14,951,890</w:t>
            </w:r>
            <w:r>
              <w:rPr>
                <w:rFonts w:ascii="Arial" w:cs="Arial" w:eastAsia="Arial" w:hAnsi="Arial"/>
                <w:sz w:val="20"/>
                <w:szCs w:val="20"/>
                <w:color w:val="auto"/>
                <w:w w:val="95"/>
                <w:vertAlign w:val="superscript"/>
              </w:rPr>
              <w:t>(3)</w:t>
            </w:r>
          </w:p>
        </w:tc>
        <w:tc>
          <w:tcPr>
            <w:tcW w:w="9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6"/>
                <w:szCs w:val="16"/>
                <w:color w:val="auto"/>
                <w:w w:val="83"/>
              </w:rPr>
              <w:t>$118.71</w:t>
            </w:r>
            <w:r>
              <w:rPr>
                <w:rFonts w:ascii="Arial" w:cs="Arial" w:eastAsia="Arial" w:hAnsi="Arial"/>
                <w:sz w:val="20"/>
                <w:szCs w:val="20"/>
                <w:color w:val="auto"/>
                <w:w w:val="83"/>
                <w:vertAlign w:val="superscript"/>
              </w:rPr>
              <w:t>(2)</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$1,774,938,861.90</w:t>
            </w:r>
          </w:p>
        </w:tc>
        <w:tc>
          <w:tcPr>
            <w:tcW w:w="82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w w:val="92"/>
              </w:rPr>
              <w:t>.0000927</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$164,536.83</w:t>
            </w:r>
          </w:p>
        </w:tc>
        <w:tc>
          <w:tcPr>
            <w:tcW w:w="0" w:type="dxa"/>
            <w:vAlign w:val="bottom"/>
          </w:tcPr>
          <w:p>
            <w:pPr>
              <w:spacing w:after="0"/>
              <w:rPr>
                <w:sz w:val="1"/>
                <w:szCs w:val="1"/>
                <w:color w:val="auto"/>
              </w:rPr>
            </w:pPr>
          </w:p>
        </w:tc>
      </w:tr>
      <w:tr>
        <w:trPr>
          <w:trHeight w:val="196"/>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stock</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800" w:type="dxa"/>
            <w:vAlign w:val="bottom"/>
            <w:tcBorders>
              <w:right w:val="single" w:sz="8" w:color="auto"/>
            </w:tcBorders>
          </w:tcPr>
          <w:p>
            <w:pPr>
              <w:ind w:left="80"/>
              <w:spacing w:after="0"/>
              <w:rPr>
                <w:sz w:val="20"/>
                <w:szCs w:val="20"/>
                <w:color w:val="auto"/>
              </w:rPr>
            </w:pPr>
            <w:r>
              <w:rPr>
                <w:rFonts w:ascii="Arial" w:cs="Arial" w:eastAsia="Arial" w:hAnsi="Arial"/>
                <w:sz w:val="16"/>
                <w:szCs w:val="16"/>
                <w:color w:val="auto"/>
              </w:rPr>
              <w:t>Equity</w:t>
            </w: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Class A</w:t>
            </w:r>
          </w:p>
        </w:tc>
        <w:tc>
          <w:tcPr>
            <w:tcW w:w="104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6"/>
                <w:szCs w:val="16"/>
                <w:color w:val="auto"/>
                <w:w w:val="85"/>
              </w:rPr>
              <w:t>Other</w:t>
            </w:r>
            <w:r>
              <w:rPr>
                <w:rFonts w:ascii="Arial" w:cs="Arial" w:eastAsia="Arial" w:hAnsi="Arial"/>
                <w:sz w:val="20"/>
                <w:szCs w:val="20"/>
                <w:color w:val="auto"/>
                <w:w w:val="85"/>
                <w:vertAlign w:val="superscript"/>
              </w:rPr>
              <w:t>(4)</w:t>
            </w:r>
          </w:p>
        </w:tc>
        <w:tc>
          <w:tcPr>
            <w:tcW w:w="1100" w:type="dxa"/>
            <w:vAlign w:val="bottom"/>
            <w:tcBorders>
              <w:right w:val="single" w:sz="8" w:color="auto"/>
            </w:tcBorders>
          </w:tcPr>
          <w:p>
            <w:pPr>
              <w:jc w:val="center"/>
              <w:ind w:right="102"/>
              <w:spacing w:after="0" w:line="205" w:lineRule="exact"/>
              <w:rPr>
                <w:sz w:val="20"/>
                <w:szCs w:val="20"/>
                <w:color w:val="auto"/>
              </w:rPr>
            </w:pPr>
            <w:r>
              <w:rPr>
                <w:rFonts w:ascii="Arial" w:cs="Arial" w:eastAsia="Arial" w:hAnsi="Arial"/>
                <w:sz w:val="16"/>
                <w:szCs w:val="16"/>
                <w:color w:val="auto"/>
              </w:rPr>
              <w:t>2,990,378</w:t>
            </w:r>
            <w:r>
              <w:rPr>
                <w:rFonts w:ascii="Arial" w:cs="Arial" w:eastAsia="Arial" w:hAnsi="Arial"/>
                <w:sz w:val="20"/>
                <w:szCs w:val="20"/>
                <w:color w:val="auto"/>
                <w:vertAlign w:val="superscript"/>
              </w:rPr>
              <w:t>(5)</w:t>
            </w:r>
          </w:p>
        </w:tc>
        <w:tc>
          <w:tcPr>
            <w:tcW w:w="960" w:type="dxa"/>
            <w:vAlign w:val="bottom"/>
            <w:tcBorders>
              <w:right w:val="single" w:sz="8" w:color="auto"/>
            </w:tcBorders>
          </w:tcPr>
          <w:p>
            <w:pPr>
              <w:jc w:val="center"/>
              <w:spacing w:after="0" w:line="205" w:lineRule="exact"/>
              <w:rPr>
                <w:sz w:val="20"/>
                <w:szCs w:val="20"/>
                <w:color w:val="auto"/>
              </w:rPr>
            </w:pPr>
            <w:r>
              <w:rPr>
                <w:rFonts w:ascii="Arial" w:cs="Arial" w:eastAsia="Arial" w:hAnsi="Arial"/>
                <w:sz w:val="16"/>
                <w:szCs w:val="16"/>
                <w:color w:val="auto"/>
                <w:w w:val="83"/>
              </w:rPr>
              <w:t>$100.90</w:t>
            </w:r>
            <w:r>
              <w:rPr>
                <w:rFonts w:ascii="Arial" w:cs="Arial" w:eastAsia="Arial" w:hAnsi="Arial"/>
                <w:sz w:val="20"/>
                <w:szCs w:val="20"/>
                <w:color w:val="auto"/>
                <w:w w:val="83"/>
                <w:vertAlign w:val="superscript"/>
              </w:rPr>
              <w:t>(4)</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8"/>
              </w:rPr>
              <w:t>$301,729,140.20</w:t>
            </w:r>
          </w:p>
        </w:tc>
        <w:tc>
          <w:tcPr>
            <w:tcW w:w="820" w:type="dxa"/>
            <w:vAlign w:val="bottom"/>
            <w:tcBorders>
              <w:right w:val="single" w:sz="8" w:color="auto"/>
            </w:tcBorders>
          </w:tcPr>
          <w:p>
            <w:pPr>
              <w:jc w:val="right"/>
              <w:ind w:right="102"/>
              <w:spacing w:after="0"/>
              <w:rPr>
                <w:sz w:val="20"/>
                <w:szCs w:val="20"/>
                <w:color w:val="auto"/>
              </w:rPr>
            </w:pPr>
            <w:r>
              <w:rPr>
                <w:rFonts w:ascii="Arial" w:cs="Arial" w:eastAsia="Arial" w:hAnsi="Arial"/>
                <w:sz w:val="16"/>
                <w:szCs w:val="16"/>
                <w:color w:val="auto"/>
                <w:w w:val="92"/>
              </w:rPr>
              <w:t>.0000927</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$27,970.29</w:t>
            </w:r>
          </w:p>
        </w:tc>
        <w:tc>
          <w:tcPr>
            <w:tcW w:w="0" w:type="dxa"/>
            <w:vAlign w:val="bottom"/>
          </w:tcPr>
          <w:p>
            <w:pPr>
              <w:spacing w:after="0"/>
              <w:rPr>
                <w:sz w:val="1"/>
                <w:szCs w:val="1"/>
                <w:color w:val="auto"/>
              </w:rPr>
            </w:pPr>
          </w:p>
        </w:tc>
      </w:tr>
      <w:tr>
        <w:trPr>
          <w:trHeight w:val="196"/>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common</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800" w:type="dxa"/>
            <w:vAlign w:val="bottom"/>
            <w:tcBorders>
              <w:right w:val="single" w:sz="8" w:color="auto"/>
            </w:tcBorders>
          </w:tcPr>
          <w:p>
            <w:pPr>
              <w:spacing w:after="0"/>
              <w:rPr>
                <w:sz w:val="17"/>
                <w:szCs w:val="17"/>
                <w:color w:val="auto"/>
              </w:rPr>
            </w:pPr>
          </w:p>
        </w:tc>
        <w:tc>
          <w:tcPr>
            <w:tcW w:w="980" w:type="dxa"/>
            <w:vAlign w:val="bottom"/>
            <w:tcBorders>
              <w:right w:val="single" w:sz="8" w:color="auto"/>
            </w:tcBorders>
          </w:tcPr>
          <w:p>
            <w:pPr>
              <w:ind w:left="60"/>
              <w:spacing w:after="0"/>
              <w:rPr>
                <w:sz w:val="20"/>
                <w:szCs w:val="20"/>
                <w:color w:val="auto"/>
              </w:rPr>
            </w:pPr>
            <w:r>
              <w:rPr>
                <w:rFonts w:ascii="Arial" w:cs="Arial" w:eastAsia="Arial" w:hAnsi="Arial"/>
                <w:sz w:val="16"/>
                <w:szCs w:val="16"/>
                <w:color w:val="auto"/>
              </w:rPr>
              <w:t>stock</w:t>
            </w:r>
          </w:p>
        </w:tc>
        <w:tc>
          <w:tcPr>
            <w:tcW w:w="1040" w:type="dxa"/>
            <w:vAlign w:val="bottom"/>
            <w:tcBorders>
              <w:right w:val="single" w:sz="8" w:color="auto"/>
            </w:tcBorders>
          </w:tcPr>
          <w:p>
            <w:pPr>
              <w:spacing w:after="0"/>
              <w:rPr>
                <w:sz w:val="17"/>
                <w:szCs w:val="17"/>
                <w:color w:val="auto"/>
              </w:rPr>
            </w:pPr>
          </w:p>
        </w:tc>
        <w:tc>
          <w:tcPr>
            <w:tcW w:w="1100" w:type="dxa"/>
            <w:vAlign w:val="bottom"/>
            <w:tcBorders>
              <w:right w:val="single" w:sz="8" w:color="auto"/>
            </w:tcBorders>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1380" w:type="dxa"/>
            <w:vAlign w:val="bottom"/>
            <w:tcBorders>
              <w:right w:val="single" w:sz="8" w:color="auto"/>
            </w:tcBorders>
          </w:tcPr>
          <w:p>
            <w:pPr>
              <w:spacing w:after="0"/>
              <w:rPr>
                <w:sz w:val="17"/>
                <w:szCs w:val="17"/>
                <w:color w:val="auto"/>
              </w:rPr>
            </w:pPr>
          </w:p>
        </w:tc>
        <w:tc>
          <w:tcPr>
            <w:tcW w:w="820" w:type="dxa"/>
            <w:vAlign w:val="bottom"/>
            <w:tcBorders>
              <w:right w:val="single" w:sz="8" w:color="auto"/>
            </w:tcBorders>
          </w:tcPr>
          <w:p>
            <w:pPr>
              <w:spacing w:after="0"/>
              <w:rPr>
                <w:sz w:val="17"/>
                <w:szCs w:val="17"/>
                <w:color w:val="auto"/>
              </w:rPr>
            </w:pPr>
          </w:p>
        </w:tc>
        <w:tc>
          <w:tcPr>
            <w:tcW w:w="1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right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Total Offering Amounts</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6"/>
              </w:rPr>
              <w:t>$2,076,668,002.10</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$192,507.12</w:t>
            </w: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w w:val="87"/>
              </w:rPr>
              <w:t>Total Fees Previously Paid</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w:t>
            </w: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Total Fee Offsets</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7"/>
              </w:rPr>
              <w:t>$192,507.12</w:t>
            </w: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1780" w:type="dxa"/>
            <w:vAlign w:val="bottom"/>
            <w:gridSpan w:val="2"/>
          </w:tcPr>
          <w:p>
            <w:pPr>
              <w:ind w:left="80"/>
              <w:spacing w:after="0"/>
              <w:rPr>
                <w:sz w:val="20"/>
                <w:szCs w:val="20"/>
                <w:color w:val="auto"/>
              </w:rPr>
            </w:pPr>
            <w:r>
              <w:rPr>
                <w:rFonts w:ascii="Arial" w:cs="Arial" w:eastAsia="Arial" w:hAnsi="Arial"/>
                <w:sz w:val="16"/>
                <w:szCs w:val="16"/>
                <w:color w:val="auto"/>
              </w:rPr>
              <w:t>Net Fee Due</w:t>
            </w:r>
          </w:p>
        </w:tc>
        <w:tc>
          <w:tcPr>
            <w:tcW w:w="104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960" w:type="dxa"/>
            <w:vAlign w:val="bottom"/>
            <w:tcBorders>
              <w:right w:val="single" w:sz="8" w:color="auto"/>
            </w:tcBorders>
          </w:tcPr>
          <w:p>
            <w:pPr>
              <w:jc w:val="center"/>
              <w:spacing w:after="0"/>
              <w:rPr>
                <w:sz w:val="20"/>
                <w:szCs w:val="20"/>
                <w:color w:val="auto"/>
              </w:rPr>
            </w:pPr>
            <w:r>
              <w:rPr>
                <w:rFonts w:ascii="Arial" w:cs="Arial" w:eastAsia="Arial" w:hAnsi="Arial"/>
                <w:sz w:val="15"/>
                <w:szCs w:val="15"/>
                <w:color w:val="auto"/>
                <w:w w:val="71"/>
              </w:rPr>
              <w:t>–</w:t>
            </w:r>
          </w:p>
        </w:tc>
        <w:tc>
          <w:tcPr>
            <w:tcW w:w="138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820" w:type="dxa"/>
            <w:vAlign w:val="bottom"/>
            <w:tcBorders>
              <w:right w:val="single" w:sz="8" w:color="auto"/>
            </w:tcBorders>
          </w:tcPr>
          <w:p>
            <w:pPr>
              <w:jc w:val="center"/>
              <w:spacing w:after="0"/>
              <w:rPr>
                <w:sz w:val="20"/>
                <w:szCs w:val="20"/>
                <w:color w:val="auto"/>
              </w:rPr>
            </w:pPr>
            <w:r>
              <w:rPr>
                <w:rFonts w:ascii="Arial" w:cs="Arial" w:eastAsia="Arial" w:hAnsi="Arial"/>
                <w:sz w:val="16"/>
                <w:szCs w:val="16"/>
                <w:color w:val="auto"/>
                <w:w w:val="89"/>
              </w:rPr>
              <w:t>–</w:t>
            </w:r>
          </w:p>
        </w:tc>
        <w:tc>
          <w:tcPr>
            <w:tcW w:w="1100" w:type="dxa"/>
            <w:vAlign w:val="bottom"/>
          </w:tcPr>
          <w:p>
            <w:pPr>
              <w:jc w:val="center"/>
              <w:spacing w:after="0"/>
              <w:rPr>
                <w:sz w:val="20"/>
                <w:szCs w:val="20"/>
                <w:color w:val="auto"/>
              </w:rPr>
            </w:pPr>
            <w:r>
              <w:rPr>
                <w:rFonts w:ascii="Arial" w:cs="Arial" w:eastAsia="Arial" w:hAnsi="Arial"/>
                <w:sz w:val="16"/>
                <w:szCs w:val="16"/>
                <w:color w:val="auto"/>
                <w:w w:val="89"/>
              </w:rPr>
              <w:t>$0</w:t>
            </w:r>
          </w:p>
        </w:tc>
        <w:tc>
          <w:tcPr>
            <w:tcW w:w="0" w:type="dxa"/>
            <w:vAlign w:val="bottom"/>
          </w:tcPr>
          <w:p>
            <w:pPr>
              <w:spacing w:after="0"/>
              <w:rPr>
                <w:sz w:val="1"/>
                <w:szCs w:val="1"/>
                <w:color w:val="auto"/>
              </w:rPr>
            </w:pPr>
          </w:p>
        </w:tc>
      </w:tr>
      <w:tr>
        <w:trPr>
          <w:trHeight w:val="32"/>
        </w:trPr>
        <w:tc>
          <w:tcPr>
            <w:tcW w:w="8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10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138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303" w:lineRule="exact"/>
        <w:rPr>
          <w:sz w:val="20"/>
          <w:szCs w:val="20"/>
          <w:color w:val="auto"/>
        </w:rPr>
      </w:pPr>
    </w:p>
    <w:p>
      <w:pPr>
        <w:jc w:val="both"/>
        <w:ind w:left="320" w:hanging="316"/>
        <w:spacing w:after="0"/>
        <w:tabs>
          <w:tab w:leader="none" w:pos="39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promulgated under the Securities Act of 1933, as amended, this Registration Statement shall also cover any additional shares of Class A common stock of Zoom Video Communications, Inc. (the “Registrant”) that become issuable under the plans set forth herein by reason of any stock dividend, stock split, recapitalization, or other similar transaction effected that results in an increase to the number of outstanding shares of the Registrant’s Class A common stock, as applicable.</w:t>
      </w:r>
    </w:p>
    <w:p>
      <w:pPr>
        <w:ind w:left="320" w:hanging="316"/>
        <w:spacing w:after="0" w:line="204" w:lineRule="auto"/>
        <w:tabs>
          <w:tab w:leader="none" w:pos="398"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2, 2022.</w:t>
      </w:r>
    </w:p>
    <w:p>
      <w:pPr>
        <w:ind w:left="320" w:hanging="316"/>
        <w:spacing w:after="0" w:line="204" w:lineRule="auto"/>
        <w:tabs>
          <w:tab w:leader="none" w:pos="367"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(i) an automatic annual increase equal to 5% of the total number of shares of the Registrant’s Class A common stock and Class B common stock outstanding on January 31 of the preceding fiscal year, which annual increase is provided by the Registrant’s 2019 Equity Incentive Plan.</w:t>
      </w:r>
    </w:p>
    <w:p>
      <w:pPr>
        <w:jc w:val="both"/>
        <w:ind w:left="320" w:hanging="316"/>
        <w:spacing w:after="0" w:line="204" w:lineRule="auto"/>
        <w:tabs>
          <w:tab w:leader="none" w:pos="398" w:val="left"/>
        </w:tabs>
        <w:numPr>
          <w:ilvl w:val="0"/>
          <w:numId w:val="2"/>
        </w:numPr>
        <w:rPr>
          <w:rFonts w:ascii="Arial" w:cs="Arial" w:eastAsia="Arial" w:hAnsi="Arial"/>
          <w:sz w:val="16"/>
          <w:szCs w:val="16"/>
          <w:color w:val="auto"/>
        </w:rPr>
      </w:pPr>
      <w:r>
        <w:rPr>
          <w:rFonts w:ascii="Arial" w:cs="Arial" w:eastAsia="Arial" w:hAnsi="Arial"/>
          <w:sz w:val="16"/>
          <w:szCs w:val="16"/>
          <w:color w:val="auto"/>
        </w:rPr>
        <w:t>Estimated in accordance with Rules 457(c) and (h) solely for the purpose of calculating the registration fee on the basis of the average of the high and low prices of the Registrant’s Class A common stock as reported on the Nasdaq Global Select Market on March 2, 2022, multiplied by 85%, which is the percentage of the price per share applicable to purchases under the Registrant’s 2019 Employee Stock Purchase Plan (the “</w:t>
      </w:r>
      <w:r>
        <w:rPr>
          <w:rFonts w:ascii="Arial" w:cs="Arial" w:eastAsia="Arial" w:hAnsi="Arial"/>
          <w:sz w:val="16"/>
          <w:szCs w:val="16"/>
          <w:b w:val="1"/>
          <w:bCs w:val="1"/>
          <w:i w:val="1"/>
          <w:iCs w:val="1"/>
          <w:color w:val="auto"/>
        </w:rPr>
        <w:t>2019 ESPP</w:t>
      </w:r>
      <w:r>
        <w:rPr>
          <w:rFonts w:ascii="Arial" w:cs="Arial" w:eastAsia="Arial" w:hAnsi="Arial"/>
          <w:sz w:val="16"/>
          <w:szCs w:val="16"/>
          <w:color w:val="auto"/>
        </w:rPr>
        <w:t>”).</w:t>
      </w:r>
    </w:p>
    <w:p>
      <w:pPr>
        <w:ind w:left="320" w:hanging="316"/>
        <w:spacing w:after="0" w:line="222" w:lineRule="auto"/>
        <w:tabs>
          <w:tab w:leader="none" w:pos="357" w:val="left"/>
        </w:tabs>
        <w:numPr>
          <w:ilvl w:val="0"/>
          <w:numId w:val="2"/>
        </w:numPr>
        <w:rPr>
          <w:rFonts w:ascii="Arial" w:cs="Arial" w:eastAsia="Arial" w:hAnsi="Arial"/>
          <w:sz w:val="16"/>
          <w:szCs w:val="16"/>
          <w:color w:val="auto"/>
        </w:rPr>
      </w:pPr>
      <w:r>
        <w:rPr>
          <w:rFonts w:ascii="Arial" w:cs="Arial" w:eastAsia="Arial" w:hAnsi="Arial"/>
          <w:sz w:val="16"/>
          <w:szCs w:val="16"/>
          <w:color w:val="auto"/>
        </w:rPr>
        <w:t>Represents an automatic increase equal to 1% of the total number of shares of the Registrant’s Class A common stock and Class B common stock outstanding on January 31 of the preceding fiscal year, which annual increase is provided by the 2019 ESPP.</w:t>
      </w:r>
    </w:p>
    <w:p>
      <w:pPr>
        <w:sectPr>
          <w:pgSz w:w="11900" w:h="16838" w:orient="portrait"/>
          <w:cols w:equalWidth="0" w:num="1">
            <w:col w:w="11240"/>
          </w:cols>
          <w:pgMar w:left="320" w:top="114" w:right="339" w:bottom="1440" w:gutter="0" w:footer="0" w:header="0"/>
        </w:sectPr>
      </w:pPr>
    </w:p>
    <w:bookmarkStart w:id="6" w:name="page7"/>
    <w:bookmarkEnd w:id="6"/>
    <w:p>
      <w:pPr>
        <w:spacing w:after="0" w:line="398"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Table 2: Fee Offset Claims and Sources</w:t>
      </w:r>
    </w:p>
    <w:p>
      <w:pPr>
        <w:spacing w:after="0" w:line="200" w:lineRule="exact"/>
        <w:rPr>
          <w:sz w:val="20"/>
          <w:szCs w:val="20"/>
          <w:color w:val="auto"/>
        </w:rPr>
      </w:pPr>
    </w:p>
    <w:p>
      <w:pPr>
        <w:spacing w:after="0" w:line="271" w:lineRule="exact"/>
        <w:rPr>
          <w:sz w:val="20"/>
          <w:szCs w:val="20"/>
          <w:color w:val="auto"/>
        </w:rPr>
      </w:pPr>
    </w:p>
    <w:tbl>
      <w:tblPr>
        <w:tblLayout w:type="fixed"/>
        <w:tblInd w:w="10" w:type="dxa"/>
        <w:tblCellMar>
          <w:top w:w="0" w:type="dxa"/>
          <w:left w:w="0" w:type="dxa"/>
          <w:bottom w:w="0" w:type="dxa"/>
          <w:right w:w="0" w:type="dxa"/>
        </w:tblCellMar>
      </w:tblPr>
      <w:tr>
        <w:trPr>
          <w:trHeight w:val="261"/>
        </w:trPr>
        <w:tc>
          <w:tcPr>
            <w:tcW w:w="880" w:type="dxa"/>
            <w:vAlign w:val="bottom"/>
            <w:tcBorders>
              <w:top w:val="single" w:sz="8" w:color="auto"/>
              <w:left w:val="single" w:sz="8" w:color="auto"/>
              <w:right w:val="single" w:sz="8" w:color="auto"/>
            </w:tcBorders>
          </w:tcPr>
          <w:p>
            <w:pPr>
              <w:spacing w:after="0"/>
              <w:rPr>
                <w:sz w:val="22"/>
                <w:szCs w:val="22"/>
                <w:color w:val="auto"/>
              </w:rPr>
            </w:pPr>
          </w:p>
        </w:tc>
        <w:tc>
          <w:tcPr>
            <w:tcW w:w="1140" w:type="dxa"/>
            <w:vAlign w:val="bottom"/>
            <w:tcBorders>
              <w:top w:val="single" w:sz="8" w:color="auto"/>
              <w:right w:val="single" w:sz="8" w:color="auto"/>
            </w:tcBorders>
          </w:tcPr>
          <w:p>
            <w:pPr>
              <w:spacing w:after="0"/>
              <w:rPr>
                <w:sz w:val="22"/>
                <w:szCs w:val="22"/>
                <w:color w:val="auto"/>
              </w:rPr>
            </w:pPr>
          </w:p>
        </w:tc>
        <w:tc>
          <w:tcPr>
            <w:tcW w:w="82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840" w:type="dxa"/>
            <w:vAlign w:val="bottom"/>
            <w:tcBorders>
              <w:top w:val="single" w:sz="8" w:color="auto"/>
              <w:right w:val="single" w:sz="8" w:color="auto"/>
            </w:tcBorders>
          </w:tcPr>
          <w:p>
            <w:pPr>
              <w:spacing w:after="0"/>
              <w:rPr>
                <w:sz w:val="22"/>
                <w:szCs w:val="22"/>
                <w:color w:val="auto"/>
              </w:rPr>
            </w:pPr>
          </w:p>
        </w:tc>
        <w:tc>
          <w:tcPr>
            <w:tcW w:w="720" w:type="dxa"/>
            <w:vAlign w:val="bottom"/>
            <w:tcBorders>
              <w:top w:val="single" w:sz="8" w:color="auto"/>
            </w:tcBorders>
          </w:tcPr>
          <w:p>
            <w:pPr>
              <w:spacing w:after="0"/>
              <w:rPr>
                <w:sz w:val="22"/>
                <w:szCs w:val="22"/>
                <w:color w:val="auto"/>
              </w:rPr>
            </w:pPr>
          </w:p>
        </w:tc>
        <w:tc>
          <w:tcPr>
            <w:tcW w:w="100" w:type="dxa"/>
            <w:vAlign w:val="bottom"/>
            <w:tcBorders>
              <w:top w:val="single" w:sz="8" w:color="auto"/>
              <w:right w:val="single" w:sz="8" w:color="auto"/>
            </w:tcBorders>
          </w:tcPr>
          <w:p>
            <w:pPr>
              <w:spacing w:after="0"/>
              <w:rPr>
                <w:sz w:val="22"/>
                <w:szCs w:val="22"/>
                <w:color w:val="auto"/>
              </w:rPr>
            </w:pPr>
          </w:p>
        </w:tc>
        <w:tc>
          <w:tcPr>
            <w:tcW w:w="700" w:type="dxa"/>
            <w:vAlign w:val="bottom"/>
            <w:tcBorders>
              <w:top w:val="single" w:sz="8" w:color="auto"/>
            </w:tcBorders>
          </w:tcPr>
          <w:p>
            <w:pPr>
              <w:spacing w:after="0"/>
              <w:rPr>
                <w:sz w:val="22"/>
                <w:szCs w:val="22"/>
                <w:color w:val="auto"/>
              </w:rPr>
            </w:pPr>
          </w:p>
        </w:tc>
        <w:tc>
          <w:tcPr>
            <w:tcW w:w="260" w:type="dxa"/>
            <w:vAlign w:val="bottom"/>
            <w:tcBorders>
              <w:top w:val="single" w:sz="8" w:color="auto"/>
              <w:right w:val="single" w:sz="8" w:color="auto"/>
            </w:tcBorders>
          </w:tcPr>
          <w:p>
            <w:pPr>
              <w:spacing w:after="0"/>
              <w:rPr>
                <w:sz w:val="22"/>
                <w:szCs w:val="22"/>
                <w:color w:val="auto"/>
              </w:rPr>
            </w:pP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Security</w:t>
            </w:r>
          </w:p>
        </w:tc>
        <w:tc>
          <w:tcPr>
            <w:tcW w:w="92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6"/>
              </w:rPr>
              <w:t>Security</w:t>
            </w:r>
          </w:p>
        </w:tc>
        <w:tc>
          <w:tcPr>
            <w:tcW w:w="900" w:type="dxa"/>
            <w:vAlign w:val="bottom"/>
            <w:tcBorders>
              <w:top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Unsold</w:t>
            </w:r>
          </w:p>
        </w:tc>
        <w:tc>
          <w:tcPr>
            <w:tcW w:w="130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Unsold</w:t>
            </w:r>
          </w:p>
        </w:tc>
        <w:tc>
          <w:tcPr>
            <w:tcW w:w="920" w:type="dxa"/>
            <w:vAlign w:val="bottom"/>
            <w:tcBorders>
              <w:top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900" w:type="dxa"/>
            <w:vAlign w:val="bottom"/>
            <w:tcBorders>
              <w:right w:val="single" w:sz="8" w:color="auto"/>
            </w:tcBorders>
            <w:vMerge w:val="continue"/>
          </w:tcPr>
          <w:p>
            <w:pPr>
              <w:spacing w:after="0"/>
              <w:rPr>
                <w:sz w:val="11"/>
                <w:szCs w:val="11"/>
                <w:color w:val="auto"/>
              </w:rPr>
            </w:pPr>
          </w:p>
        </w:tc>
        <w:tc>
          <w:tcPr>
            <w:tcW w:w="13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6"/>
              </w:rPr>
              <w:t>Aggregate</w:t>
            </w:r>
          </w:p>
        </w:tc>
        <w:tc>
          <w:tcPr>
            <w:tcW w:w="92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spacing w:after="0"/>
              <w:rPr>
                <w:sz w:val="11"/>
                <w:szCs w:val="11"/>
                <w:color w:val="auto"/>
              </w:rPr>
            </w:pPr>
          </w:p>
        </w:tc>
        <w:tc>
          <w:tcPr>
            <w:tcW w:w="1140" w:type="dxa"/>
            <w:vAlign w:val="bottom"/>
            <w:tcBorders>
              <w:right w:val="single" w:sz="8" w:color="auto"/>
            </w:tcBorders>
          </w:tcPr>
          <w:p>
            <w:pPr>
              <w:spacing w:after="0"/>
              <w:rPr>
                <w:sz w:val="11"/>
                <w:szCs w:val="11"/>
                <w:color w:val="auto"/>
              </w:rPr>
            </w:pPr>
          </w:p>
        </w:tc>
        <w:tc>
          <w:tcPr>
            <w:tcW w:w="82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Type</w:t>
            </w:r>
          </w:p>
        </w:tc>
        <w:tc>
          <w:tcPr>
            <w:tcW w:w="92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7"/>
              </w:rPr>
              <w:t>Title</w:t>
            </w:r>
          </w:p>
        </w:tc>
        <w:tc>
          <w:tcPr>
            <w:tcW w:w="9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86"/>
              </w:rPr>
              <w:t>Securities</w:t>
            </w:r>
          </w:p>
        </w:tc>
        <w:tc>
          <w:tcPr>
            <w:tcW w:w="1300" w:type="dxa"/>
            <w:vAlign w:val="bottom"/>
            <w:tcBorders>
              <w:right w:val="single" w:sz="8" w:color="auto"/>
            </w:tcBorders>
          </w:tcPr>
          <w:p>
            <w:pPr>
              <w:jc w:val="center"/>
              <w:spacing w:after="0" w:line="131" w:lineRule="exact"/>
              <w:rPr>
                <w:sz w:val="20"/>
                <w:szCs w:val="20"/>
                <w:color w:val="auto"/>
              </w:rPr>
            </w:pPr>
            <w:r>
              <w:rPr>
                <w:rFonts w:ascii="Arial" w:cs="Arial" w:eastAsia="Arial" w:hAnsi="Arial"/>
                <w:sz w:val="14"/>
                <w:szCs w:val="14"/>
                <w:b w:val="1"/>
                <w:bCs w:val="1"/>
                <w:color w:val="auto"/>
                <w:w w:val="91"/>
              </w:rPr>
              <w:t>Offering Amount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0"/>
              </w:rPr>
              <w:t>Fee Paid</w:t>
            </w: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tcPr>
          <w:p>
            <w:pPr>
              <w:spacing w:after="0"/>
              <w:rPr>
                <w:sz w:val="5"/>
                <w:szCs w:val="5"/>
                <w:color w:val="auto"/>
              </w:rPr>
            </w:pPr>
          </w:p>
        </w:tc>
        <w:tc>
          <w:tcPr>
            <w:tcW w:w="8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4"/>
              </w:rPr>
              <w:t>Form or</w:t>
            </w:r>
          </w:p>
        </w:tc>
        <w:tc>
          <w:tcPr>
            <w:tcW w:w="8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restart"/>
          </w:tcPr>
          <w:p>
            <w:pPr>
              <w:jc w:val="center"/>
              <w:ind w:right="11"/>
              <w:spacing w:after="0"/>
              <w:rPr>
                <w:sz w:val="20"/>
                <w:szCs w:val="20"/>
                <w:color w:val="auto"/>
              </w:rPr>
            </w:pPr>
            <w:r>
              <w:rPr>
                <w:rFonts w:ascii="Arial" w:cs="Arial" w:eastAsia="Arial" w:hAnsi="Arial"/>
                <w:sz w:val="14"/>
                <w:szCs w:val="14"/>
                <w:b w:val="1"/>
                <w:bCs w:val="1"/>
                <w:color w:val="auto"/>
                <w:w w:val="98"/>
              </w:rPr>
              <w:t>Initial</w:t>
            </w:r>
          </w:p>
        </w:tc>
        <w:tc>
          <w:tcPr>
            <w:tcW w:w="7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5"/>
              </w:rPr>
              <w:t>Associated</w:t>
            </w: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5"/>
              </w:rPr>
              <w:t>Associated</w:t>
            </w:r>
          </w:p>
        </w:tc>
        <w:tc>
          <w:tcPr>
            <w:tcW w:w="9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5"/>
              </w:rPr>
              <w:t>Associated</w:t>
            </w:r>
          </w:p>
        </w:tc>
        <w:tc>
          <w:tcPr>
            <w:tcW w:w="13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8"/>
              </w:rPr>
              <w:t>Associated with</w:t>
            </w: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9"/>
              </w:rPr>
              <w:t>Registrant or</w:t>
            </w:r>
          </w:p>
        </w:tc>
        <w:tc>
          <w:tcPr>
            <w:tcW w:w="82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Borders>
              <w:right w:val="single" w:sz="8" w:color="auto"/>
            </w:tcBorders>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9"/>
              </w:rPr>
              <w:t>with Fee</w:t>
            </w: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0"/>
              </w:rPr>
              <w:t>Filing</w:t>
            </w:r>
          </w:p>
        </w:tc>
        <w:tc>
          <w:tcPr>
            <w:tcW w:w="840" w:type="dxa"/>
            <w:vAlign w:val="bottom"/>
            <w:tcBorders>
              <w:right w:val="single" w:sz="8" w:color="auto"/>
            </w:tcBorders>
            <w:vMerge w:val="restart"/>
          </w:tcPr>
          <w:p>
            <w:pPr>
              <w:ind w:left="360"/>
              <w:spacing w:after="0"/>
              <w:rPr>
                <w:sz w:val="20"/>
                <w:szCs w:val="20"/>
                <w:color w:val="auto"/>
              </w:rPr>
            </w:pPr>
            <w:r>
              <w:rPr>
                <w:rFonts w:ascii="Arial" w:cs="Arial" w:eastAsia="Arial" w:hAnsi="Arial"/>
                <w:sz w:val="14"/>
                <w:szCs w:val="14"/>
                <w:b w:val="1"/>
                <w:bCs w:val="1"/>
                <w:color w:val="auto"/>
              </w:rPr>
              <w:t>File</w:t>
            </w:r>
          </w:p>
        </w:tc>
        <w:tc>
          <w:tcPr>
            <w:tcW w:w="840" w:type="dxa"/>
            <w:vAlign w:val="bottom"/>
            <w:tcBorders>
              <w:right w:val="single" w:sz="8" w:color="auto"/>
            </w:tcBorders>
            <w:vMerge w:val="continue"/>
          </w:tcPr>
          <w:p>
            <w:pPr>
              <w:spacing w:after="0"/>
              <w:rPr>
                <w:sz w:val="5"/>
                <w:szCs w:val="5"/>
                <w:color w:val="auto"/>
              </w:rPr>
            </w:pPr>
          </w:p>
        </w:tc>
        <w:tc>
          <w:tcPr>
            <w:tcW w:w="720" w:type="dxa"/>
            <w:vAlign w:val="bottom"/>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gridSpan w:val="2"/>
            <w:vMerge w:val="restart"/>
          </w:tcPr>
          <w:p>
            <w:pPr>
              <w:jc w:val="right"/>
              <w:ind w:right="175"/>
              <w:spacing w:after="0"/>
              <w:rPr>
                <w:sz w:val="20"/>
                <w:szCs w:val="20"/>
                <w:color w:val="auto"/>
              </w:rPr>
            </w:pPr>
            <w:r>
              <w:rPr>
                <w:rFonts w:ascii="Arial" w:cs="Arial" w:eastAsia="Arial" w:hAnsi="Arial"/>
                <w:sz w:val="14"/>
                <w:szCs w:val="14"/>
                <w:b w:val="1"/>
                <w:bCs w:val="1"/>
                <w:color w:val="auto"/>
              </w:rPr>
              <w:t>Fee Offset</w:t>
            </w: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9"/>
              </w:rPr>
              <w:t>with Fee</w:t>
            </w: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9"/>
              </w:rPr>
              <w:t>with Fee</w:t>
            </w:r>
          </w:p>
        </w:tc>
        <w:tc>
          <w:tcPr>
            <w:tcW w:w="9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2"/>
              </w:rPr>
              <w:t>with Fee</w:t>
            </w:r>
          </w:p>
        </w:tc>
        <w:tc>
          <w:tcPr>
            <w:tcW w:w="13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7"/>
              </w:rPr>
              <w:t>Fee Offset</w:t>
            </w: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0"/>
              </w:rPr>
              <w:t>Filing</w:t>
            </w:r>
          </w:p>
        </w:tc>
        <w:tc>
          <w:tcPr>
            <w:tcW w:w="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Filing Date</w:t>
            </w:r>
          </w:p>
        </w:tc>
        <w:tc>
          <w:tcPr>
            <w:tcW w:w="1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gridSpan w:val="2"/>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8"/>
              </w:rPr>
              <w:t>Offset</w:t>
            </w: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2"/>
              </w:rPr>
              <w:t>Filer Name</w:t>
            </w:r>
          </w:p>
        </w:tc>
        <w:tc>
          <w:tcPr>
            <w:tcW w:w="8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1"/>
              </w:rPr>
              <w:t>Type</w:t>
            </w:r>
          </w:p>
        </w:tc>
        <w:tc>
          <w:tcPr>
            <w:tcW w:w="84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gridSpan w:val="2"/>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8"/>
              </w:rPr>
              <w:t>Offset</w:t>
            </w:r>
          </w:p>
        </w:tc>
        <w:tc>
          <w:tcPr>
            <w:tcW w:w="92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8"/>
              </w:rPr>
              <w:t>Offset</w:t>
            </w:r>
          </w:p>
        </w:tc>
        <w:tc>
          <w:tcPr>
            <w:tcW w:w="9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88"/>
              </w:rPr>
              <w:t>Offset</w:t>
            </w:r>
          </w:p>
        </w:tc>
        <w:tc>
          <w:tcPr>
            <w:tcW w:w="1300" w:type="dxa"/>
            <w:vAlign w:val="bottom"/>
            <w:tcBorders>
              <w:right w:val="single" w:sz="8" w:color="auto"/>
            </w:tcBorders>
            <w:vMerge w:val="restart"/>
          </w:tcPr>
          <w:p>
            <w:pPr>
              <w:jc w:val="center"/>
              <w:spacing w:after="0" w:line="131" w:lineRule="exact"/>
              <w:rPr>
                <w:sz w:val="20"/>
                <w:szCs w:val="20"/>
                <w:color w:val="auto"/>
              </w:rPr>
            </w:pPr>
            <w:r>
              <w:rPr>
                <w:rFonts w:ascii="Arial" w:cs="Arial" w:eastAsia="Arial" w:hAnsi="Arial"/>
                <w:sz w:val="14"/>
                <w:szCs w:val="14"/>
                <w:b w:val="1"/>
                <w:bCs w:val="1"/>
                <w:color w:val="auto"/>
                <w:w w:val="91"/>
              </w:rPr>
              <w:t>Claimed</w:t>
            </w:r>
          </w:p>
        </w:tc>
        <w:tc>
          <w:tcPr>
            <w:tcW w:w="920" w:type="dxa"/>
            <w:vAlign w:val="bottom"/>
            <w:tcBorders>
              <w:right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5"/>
        </w:trPr>
        <w:tc>
          <w:tcPr>
            <w:tcW w:w="880" w:type="dxa"/>
            <w:vAlign w:val="bottom"/>
            <w:tcBorders>
              <w:left w:val="single" w:sz="8" w:color="auto"/>
              <w:right w:val="single" w:sz="8" w:color="auto"/>
            </w:tcBorders>
          </w:tcPr>
          <w:p>
            <w:pPr>
              <w:spacing w:after="0"/>
              <w:rPr>
                <w:sz w:val="5"/>
                <w:szCs w:val="5"/>
                <w:color w:val="auto"/>
              </w:rPr>
            </w:pPr>
          </w:p>
        </w:tc>
        <w:tc>
          <w:tcPr>
            <w:tcW w:w="1140" w:type="dxa"/>
            <w:vAlign w:val="bottom"/>
            <w:tcBorders>
              <w:right w:val="single" w:sz="8" w:color="auto"/>
            </w:tcBorders>
            <w:vMerge w:val="continue"/>
          </w:tcPr>
          <w:p>
            <w:pPr>
              <w:spacing w:after="0"/>
              <w:rPr>
                <w:sz w:val="5"/>
                <w:szCs w:val="5"/>
                <w:color w:val="auto"/>
              </w:rPr>
            </w:pPr>
          </w:p>
        </w:tc>
        <w:tc>
          <w:tcPr>
            <w:tcW w:w="820" w:type="dxa"/>
            <w:vAlign w:val="bottom"/>
            <w:tcBorders>
              <w:right w:val="single" w:sz="8" w:color="auto"/>
            </w:tcBorders>
            <w:vMerge w:val="continue"/>
          </w:tcPr>
          <w:p>
            <w:pPr>
              <w:spacing w:after="0"/>
              <w:rPr>
                <w:sz w:val="5"/>
                <w:szCs w:val="5"/>
                <w:color w:val="auto"/>
              </w:rPr>
            </w:pPr>
          </w:p>
        </w:tc>
        <w:tc>
          <w:tcPr>
            <w:tcW w:w="840" w:type="dxa"/>
            <w:vAlign w:val="bottom"/>
            <w:tcBorders>
              <w:right w:val="single" w:sz="8" w:color="auto"/>
            </w:tcBorders>
            <w:vMerge w:val="restart"/>
          </w:tcPr>
          <w:p>
            <w:pPr>
              <w:ind w:left="160"/>
              <w:spacing w:after="0"/>
              <w:rPr>
                <w:sz w:val="20"/>
                <w:szCs w:val="20"/>
                <w:color w:val="auto"/>
              </w:rPr>
            </w:pPr>
            <w:r>
              <w:rPr>
                <w:rFonts w:ascii="Arial" w:cs="Arial" w:eastAsia="Arial" w:hAnsi="Arial"/>
                <w:sz w:val="14"/>
                <w:szCs w:val="14"/>
                <w:b w:val="1"/>
                <w:bCs w:val="1"/>
                <w:color w:val="auto"/>
              </w:rPr>
              <w:t>Number</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2"/>
              </w:rPr>
              <w:t>Date</w:t>
            </w:r>
          </w:p>
        </w:tc>
        <w:tc>
          <w:tcPr>
            <w:tcW w:w="720" w:type="dxa"/>
            <w:vAlign w:val="bottom"/>
            <w:vMerge w:val="continue"/>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960" w:type="dxa"/>
            <w:vAlign w:val="bottom"/>
            <w:tcBorders>
              <w:right w:val="single" w:sz="8" w:color="auto"/>
            </w:tcBorders>
            <w:gridSpan w:val="2"/>
            <w:vMerge w:val="restart"/>
          </w:tcPr>
          <w:p>
            <w:pPr>
              <w:jc w:val="center"/>
              <w:spacing w:after="0"/>
              <w:rPr>
                <w:sz w:val="20"/>
                <w:szCs w:val="20"/>
                <w:color w:val="auto"/>
              </w:rPr>
            </w:pPr>
            <w:r>
              <w:rPr>
                <w:rFonts w:ascii="Arial" w:cs="Arial" w:eastAsia="Arial" w:hAnsi="Arial"/>
                <w:sz w:val="14"/>
                <w:szCs w:val="14"/>
                <w:b w:val="1"/>
                <w:bCs w:val="1"/>
                <w:color w:val="auto"/>
                <w:w w:val="95"/>
              </w:rPr>
              <w:t>Claimed</w:t>
            </w:r>
          </w:p>
        </w:tc>
        <w:tc>
          <w:tcPr>
            <w:tcW w:w="92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continue"/>
          </w:tcPr>
          <w:p>
            <w:pPr>
              <w:spacing w:after="0"/>
              <w:rPr>
                <w:sz w:val="5"/>
                <w:szCs w:val="5"/>
                <w:color w:val="auto"/>
              </w:rPr>
            </w:pPr>
          </w:p>
        </w:tc>
        <w:tc>
          <w:tcPr>
            <w:tcW w:w="900" w:type="dxa"/>
            <w:vAlign w:val="bottom"/>
            <w:tcBorders>
              <w:right w:val="single" w:sz="8" w:color="auto"/>
            </w:tcBorders>
            <w:vMerge w:val="continue"/>
          </w:tcPr>
          <w:p>
            <w:pPr>
              <w:spacing w:after="0"/>
              <w:rPr>
                <w:sz w:val="5"/>
                <w:szCs w:val="5"/>
                <w:color w:val="auto"/>
              </w:rPr>
            </w:pPr>
          </w:p>
        </w:tc>
        <w:tc>
          <w:tcPr>
            <w:tcW w:w="1300" w:type="dxa"/>
            <w:vAlign w:val="bottom"/>
            <w:tcBorders>
              <w:right w:val="single" w:sz="8" w:color="auto"/>
            </w:tcBorders>
            <w:vMerge w:val="continue"/>
          </w:tcPr>
          <w:p>
            <w:pPr>
              <w:spacing w:after="0"/>
              <w:rPr>
                <w:sz w:val="5"/>
                <w:szCs w:val="5"/>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4"/>
              </w:rPr>
              <w:t>Source</w:t>
            </w:r>
          </w:p>
        </w:tc>
        <w:tc>
          <w:tcPr>
            <w:tcW w:w="0" w:type="dxa"/>
            <w:vAlign w:val="bottom"/>
          </w:tcPr>
          <w:p>
            <w:pPr>
              <w:spacing w:after="0"/>
              <w:rPr>
                <w:sz w:val="1"/>
                <w:szCs w:val="1"/>
                <w:color w:val="auto"/>
              </w:rPr>
            </w:pPr>
          </w:p>
        </w:tc>
      </w:tr>
      <w:tr>
        <w:trPr>
          <w:trHeight w:val="115"/>
        </w:trPr>
        <w:tc>
          <w:tcPr>
            <w:tcW w:w="880" w:type="dxa"/>
            <w:vAlign w:val="bottom"/>
            <w:tcBorders>
              <w:left w:val="single" w:sz="8" w:color="auto"/>
              <w:right w:val="single" w:sz="8" w:color="auto"/>
            </w:tcBorders>
          </w:tcPr>
          <w:p>
            <w:pPr>
              <w:spacing w:after="0"/>
              <w:rPr>
                <w:sz w:val="9"/>
                <w:szCs w:val="9"/>
                <w:color w:val="auto"/>
              </w:rPr>
            </w:pPr>
          </w:p>
        </w:tc>
        <w:tc>
          <w:tcPr>
            <w:tcW w:w="1140" w:type="dxa"/>
            <w:vAlign w:val="bottom"/>
            <w:tcBorders>
              <w:right w:val="single" w:sz="8" w:color="auto"/>
            </w:tcBorders>
          </w:tcPr>
          <w:p>
            <w:pPr>
              <w:spacing w:after="0"/>
              <w:rPr>
                <w:sz w:val="9"/>
                <w:szCs w:val="9"/>
                <w:color w:val="auto"/>
              </w:rPr>
            </w:pPr>
          </w:p>
        </w:tc>
        <w:tc>
          <w:tcPr>
            <w:tcW w:w="820" w:type="dxa"/>
            <w:vAlign w:val="bottom"/>
            <w:tcBorders>
              <w:right w:val="single" w:sz="8" w:color="auto"/>
            </w:tcBorders>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840" w:type="dxa"/>
            <w:vAlign w:val="bottom"/>
            <w:tcBorders>
              <w:right w:val="single" w:sz="8" w:color="auto"/>
            </w:tcBorders>
            <w:vMerge w:val="continue"/>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960" w:type="dxa"/>
            <w:vAlign w:val="bottom"/>
            <w:tcBorders>
              <w:right w:val="single" w:sz="8" w:color="auto"/>
            </w:tcBorders>
            <w:gridSpan w:val="2"/>
            <w:vMerge w:val="continue"/>
          </w:tcPr>
          <w:p>
            <w:pPr>
              <w:spacing w:after="0"/>
              <w:rPr>
                <w:sz w:val="9"/>
                <w:szCs w:val="9"/>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Claimed</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Claimed</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91"/>
              </w:rPr>
              <w:t>Claimed</w:t>
            </w:r>
          </w:p>
        </w:tc>
        <w:tc>
          <w:tcPr>
            <w:tcW w:w="1300" w:type="dxa"/>
            <w:vAlign w:val="bottom"/>
            <w:tcBorders>
              <w:right w:val="single" w:sz="8" w:color="auto"/>
            </w:tcBorders>
          </w:tcPr>
          <w:p>
            <w:pPr>
              <w:spacing w:after="0"/>
              <w:rPr>
                <w:sz w:val="9"/>
                <w:szCs w:val="9"/>
                <w:color w:val="auto"/>
              </w:rPr>
            </w:pPr>
          </w:p>
        </w:tc>
        <w:tc>
          <w:tcPr>
            <w:tcW w:w="9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7"/>
        </w:trPr>
        <w:tc>
          <w:tcPr>
            <w:tcW w:w="880" w:type="dxa"/>
            <w:vAlign w:val="bottom"/>
            <w:tcBorders>
              <w:left w:val="single" w:sz="8" w:color="auto"/>
              <w:bottom w:val="single" w:sz="8" w:color="auto"/>
              <w:right w:val="single" w:sz="8" w:color="auto"/>
            </w:tcBorders>
          </w:tcPr>
          <w:p>
            <w:pPr>
              <w:spacing w:after="0"/>
              <w:rPr>
                <w:sz w:val="5"/>
                <w:szCs w:val="5"/>
                <w:color w:val="auto"/>
              </w:rPr>
            </w:pPr>
          </w:p>
        </w:tc>
        <w:tc>
          <w:tcPr>
            <w:tcW w:w="1140" w:type="dxa"/>
            <w:vAlign w:val="bottom"/>
            <w:tcBorders>
              <w:bottom w:val="single" w:sz="8" w:color="auto"/>
              <w:right w:val="single" w:sz="8" w:color="auto"/>
            </w:tcBorders>
          </w:tcPr>
          <w:p>
            <w:pPr>
              <w:spacing w:after="0"/>
              <w:rPr>
                <w:sz w:val="5"/>
                <w:szCs w:val="5"/>
                <w:color w:val="auto"/>
              </w:rPr>
            </w:pPr>
          </w:p>
        </w:tc>
        <w:tc>
          <w:tcPr>
            <w:tcW w:w="82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840" w:type="dxa"/>
            <w:vAlign w:val="bottom"/>
            <w:tcBorders>
              <w:bottom w:val="single" w:sz="8" w:color="auto"/>
              <w:right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right w:val="single" w:sz="8" w:color="auto"/>
            </w:tcBorders>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26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20" w:type="dxa"/>
            <w:vAlign w:val="bottom"/>
            <w:tcBorders>
              <w:bottom w:val="single" w:sz="8" w:color="auto"/>
              <w:right w:val="single" w:sz="8" w:color="auto"/>
            </w:tcBorders>
            <w:vMerge w:val="continue"/>
          </w:tcPr>
          <w:p>
            <w:pPr>
              <w:spacing w:after="0"/>
              <w:rPr>
                <w:sz w:val="5"/>
                <w:szCs w:val="5"/>
                <w:color w:val="auto"/>
              </w:rPr>
            </w:pPr>
          </w:p>
        </w:tc>
        <w:tc>
          <w:tcPr>
            <w:tcW w:w="900" w:type="dxa"/>
            <w:vAlign w:val="bottom"/>
            <w:tcBorders>
              <w:bottom w:val="single" w:sz="8" w:color="auto"/>
              <w:right w:val="single" w:sz="8" w:color="auto"/>
            </w:tcBorders>
            <w:vMerge w:val="continue"/>
          </w:tcPr>
          <w:p>
            <w:pPr>
              <w:spacing w:after="0"/>
              <w:rPr>
                <w:sz w:val="5"/>
                <w:szCs w:val="5"/>
                <w:color w:val="auto"/>
              </w:rPr>
            </w:pPr>
          </w:p>
        </w:tc>
        <w:tc>
          <w:tcPr>
            <w:tcW w:w="1300" w:type="dxa"/>
            <w:vAlign w:val="bottom"/>
            <w:tcBorders>
              <w:bottom w:val="single" w:sz="8" w:color="auto"/>
              <w:right w:val="single" w:sz="8" w:color="auto"/>
            </w:tcBorders>
          </w:tcPr>
          <w:p>
            <w:pPr>
              <w:spacing w:after="0"/>
              <w:rPr>
                <w:sz w:val="5"/>
                <w:szCs w:val="5"/>
                <w:color w:val="auto"/>
              </w:rPr>
            </w:pPr>
          </w:p>
        </w:tc>
        <w:tc>
          <w:tcPr>
            <w:tcW w:w="92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20" w:type="dxa"/>
            <w:vAlign w:val="bottom"/>
            <w:tcBorders>
              <w:left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Rules 457(b) and 0-11(a)(2)</w:t>
            </w: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100" w:type="dxa"/>
            <w:vAlign w:val="bottom"/>
            <w:tcBorders>
              <w:right w:val="single" w:sz="8" w:color="auto"/>
            </w:tcBorders>
          </w:tcPr>
          <w:p>
            <w:pPr>
              <w:spacing w:after="0"/>
              <w:rPr>
                <w:sz w:val="13"/>
                <w:szCs w:val="13"/>
                <w:color w:val="auto"/>
              </w:rPr>
            </w:pPr>
          </w:p>
        </w:tc>
        <w:tc>
          <w:tcPr>
            <w:tcW w:w="700" w:type="dxa"/>
            <w:vAlign w:val="bottom"/>
            <w:vMerge w:val="restart"/>
          </w:tcPr>
          <w:p>
            <w:pPr>
              <w:jc w:val="center"/>
              <w:ind w:left="151"/>
              <w:spacing w:after="0"/>
              <w:rPr>
                <w:sz w:val="20"/>
                <w:szCs w:val="20"/>
                <w:color w:val="auto"/>
              </w:rPr>
            </w:pPr>
            <w:r>
              <w:rPr>
                <w:rFonts w:ascii="Arial" w:cs="Arial" w:eastAsia="Arial" w:hAnsi="Arial"/>
                <w:sz w:val="14"/>
                <w:szCs w:val="14"/>
                <w:color w:val="auto"/>
                <w:w w:val="85"/>
              </w:rPr>
              <w:t>--</w:t>
            </w:r>
          </w:p>
        </w:tc>
        <w:tc>
          <w:tcPr>
            <w:tcW w:w="2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85"/>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93"/>
              </w:rPr>
              <w:t>Claims</w:t>
            </w:r>
          </w:p>
        </w:tc>
        <w:tc>
          <w:tcPr>
            <w:tcW w:w="1140" w:type="dxa"/>
            <w:vAlign w:val="bottom"/>
            <w:tcBorders>
              <w:right w:val="single" w:sz="8" w:color="auto"/>
            </w:tcBorders>
            <w:vMerge w:val="continue"/>
          </w:tcPr>
          <w:p>
            <w:pPr>
              <w:spacing w:after="0"/>
              <w:rPr>
                <w:sz w:val="7"/>
                <w:szCs w:val="7"/>
                <w:color w:val="auto"/>
              </w:rPr>
            </w:pPr>
          </w:p>
        </w:tc>
        <w:tc>
          <w:tcPr>
            <w:tcW w:w="82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840" w:type="dxa"/>
            <w:vAlign w:val="bottom"/>
            <w:tcBorders>
              <w:right w:val="single" w:sz="8" w:color="auto"/>
            </w:tcBorders>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00" w:type="dxa"/>
            <w:vAlign w:val="bottom"/>
            <w:vMerge w:val="continue"/>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900" w:type="dxa"/>
            <w:vAlign w:val="bottom"/>
            <w:tcBorders>
              <w:right w:val="single" w:sz="8" w:color="auto"/>
            </w:tcBorders>
            <w:vMerge w:val="continue"/>
          </w:tcPr>
          <w:p>
            <w:pPr>
              <w:spacing w:after="0"/>
              <w:rPr>
                <w:sz w:val="7"/>
                <w:szCs w:val="7"/>
                <w:color w:val="auto"/>
              </w:rPr>
            </w:pPr>
          </w:p>
        </w:tc>
        <w:tc>
          <w:tcPr>
            <w:tcW w:w="1300" w:type="dxa"/>
            <w:vAlign w:val="bottom"/>
            <w:tcBorders>
              <w:right w:val="single" w:sz="8" w:color="auto"/>
            </w:tcBorders>
            <w:vMerge w:val="continue"/>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7"/>
        </w:trPr>
        <w:tc>
          <w:tcPr>
            <w:tcW w:w="880" w:type="dxa"/>
            <w:vAlign w:val="bottom"/>
            <w:tcBorders>
              <w:left w:val="single" w:sz="8" w:color="auto"/>
              <w:bottom w:val="single" w:sz="8" w:color="auto"/>
              <w:right w:val="single" w:sz="8" w:color="auto"/>
            </w:tcBorders>
            <w:vMerge w:val="continue"/>
          </w:tcPr>
          <w:p>
            <w:pPr>
              <w:spacing w:after="0"/>
              <w:rPr>
                <w:sz w:val="8"/>
                <w:szCs w:val="8"/>
                <w:color w:val="auto"/>
              </w:rPr>
            </w:pPr>
          </w:p>
        </w:tc>
        <w:tc>
          <w:tcPr>
            <w:tcW w:w="1140" w:type="dxa"/>
            <w:vAlign w:val="bottom"/>
            <w:tcBorders>
              <w:bottom w:val="single" w:sz="8" w:color="auto"/>
              <w:right w:val="single" w:sz="8" w:color="auto"/>
            </w:tcBorders>
          </w:tcPr>
          <w:p>
            <w:pPr>
              <w:spacing w:after="0"/>
              <w:rPr>
                <w:sz w:val="8"/>
                <w:szCs w:val="8"/>
                <w:color w:val="auto"/>
              </w:rPr>
            </w:pPr>
          </w:p>
        </w:tc>
        <w:tc>
          <w:tcPr>
            <w:tcW w:w="82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840" w:type="dxa"/>
            <w:vAlign w:val="bottom"/>
            <w:tcBorders>
              <w:bottom w:val="single" w:sz="8" w:color="auto"/>
              <w:right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00" w:type="dxa"/>
            <w:vAlign w:val="bottom"/>
            <w:tcBorders>
              <w:bottom w:val="single" w:sz="8" w:color="auto"/>
              <w:right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26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900" w:type="dxa"/>
            <w:vAlign w:val="bottom"/>
            <w:tcBorders>
              <w:bottom w:val="single" w:sz="8" w:color="auto"/>
              <w:right w:val="single" w:sz="8" w:color="auto"/>
            </w:tcBorders>
          </w:tcPr>
          <w:p>
            <w:pPr>
              <w:spacing w:after="0"/>
              <w:rPr>
                <w:sz w:val="8"/>
                <w:szCs w:val="8"/>
                <w:color w:val="auto"/>
              </w:rPr>
            </w:pPr>
          </w:p>
        </w:tc>
        <w:tc>
          <w:tcPr>
            <w:tcW w:w="1300" w:type="dxa"/>
            <w:vAlign w:val="bottom"/>
            <w:tcBorders>
              <w:bottom w:val="single" w:sz="8" w:color="auto"/>
              <w:right w:val="single" w:sz="8" w:color="auto"/>
            </w:tcBorders>
          </w:tcPr>
          <w:p>
            <w:pPr>
              <w:spacing w:after="0"/>
              <w:rPr>
                <w:sz w:val="8"/>
                <w:szCs w:val="8"/>
                <w:color w:val="auto"/>
              </w:rPr>
            </w:pPr>
          </w:p>
        </w:tc>
        <w:tc>
          <w:tcPr>
            <w:tcW w:w="92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3"/>
        </w:trPr>
        <w:tc>
          <w:tcPr>
            <w:tcW w:w="880" w:type="dxa"/>
            <w:vAlign w:val="bottom"/>
            <w:tcBorders>
              <w:left w:val="single" w:sz="8" w:color="auto"/>
              <w:right w:val="single" w:sz="8" w:color="auto"/>
            </w:tcBorders>
          </w:tcPr>
          <w:p>
            <w:pPr>
              <w:ind w:left="100"/>
              <w:spacing w:after="0"/>
              <w:rPr>
                <w:sz w:val="20"/>
                <w:szCs w:val="20"/>
                <w:color w:val="auto"/>
              </w:rPr>
            </w:pPr>
            <w:r>
              <w:rPr>
                <w:rFonts w:ascii="Arial" w:cs="Arial" w:eastAsia="Arial" w:hAnsi="Arial"/>
                <w:sz w:val="14"/>
                <w:szCs w:val="14"/>
                <w:color w:val="auto"/>
              </w:rPr>
              <w:t>Fee Offset</w:t>
            </w: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5"/>
              </w:rPr>
              <w:t>--</w:t>
            </w:r>
          </w:p>
        </w:tc>
        <w:tc>
          <w:tcPr>
            <w:tcW w:w="100" w:type="dxa"/>
            <w:vAlign w:val="bottom"/>
            <w:tcBorders>
              <w:right w:val="single" w:sz="8" w:color="auto"/>
            </w:tcBorders>
          </w:tcPr>
          <w:p>
            <w:pPr>
              <w:spacing w:after="0"/>
              <w:rPr>
                <w:sz w:val="14"/>
                <w:szCs w:val="14"/>
                <w:color w:val="auto"/>
              </w:rPr>
            </w:pPr>
          </w:p>
        </w:tc>
        <w:tc>
          <w:tcPr>
            <w:tcW w:w="700" w:type="dxa"/>
            <w:vAlign w:val="bottom"/>
            <w:vMerge w:val="restart"/>
          </w:tcPr>
          <w:p>
            <w:pPr>
              <w:jc w:val="center"/>
              <w:ind w:left="151"/>
              <w:spacing w:after="0"/>
              <w:rPr>
                <w:sz w:val="20"/>
                <w:szCs w:val="20"/>
                <w:color w:val="auto"/>
              </w:rPr>
            </w:pPr>
            <w:r>
              <w:rPr>
                <w:rFonts w:ascii="Arial" w:cs="Arial" w:eastAsia="Arial" w:hAnsi="Arial"/>
                <w:sz w:val="14"/>
                <w:szCs w:val="14"/>
                <w:color w:val="auto"/>
                <w:w w:val="85"/>
              </w:rPr>
              <w:t>--</w:t>
            </w:r>
          </w:p>
        </w:tc>
        <w:tc>
          <w:tcPr>
            <w:tcW w:w="260" w:type="dxa"/>
            <w:vAlign w:val="bottom"/>
            <w:tcBorders>
              <w:right w:val="single" w:sz="8" w:color="auto"/>
            </w:tcBorders>
          </w:tcPr>
          <w:p>
            <w:pPr>
              <w:spacing w:after="0"/>
              <w:rPr>
                <w:sz w:val="14"/>
                <w:szCs w:val="14"/>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w:t>
            </w: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98"/>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5"/>
              </w:rPr>
              <w:t>Sources</w:t>
            </w:r>
          </w:p>
        </w:tc>
        <w:tc>
          <w:tcPr>
            <w:tcW w:w="1140" w:type="dxa"/>
            <w:vAlign w:val="bottom"/>
            <w:tcBorders>
              <w:right w:val="single" w:sz="8" w:color="auto"/>
            </w:tcBorders>
            <w:vMerge w:val="continue"/>
          </w:tcPr>
          <w:p>
            <w:pPr>
              <w:spacing w:after="0"/>
              <w:rPr>
                <w:sz w:val="8"/>
                <w:szCs w:val="8"/>
                <w:color w:val="auto"/>
              </w:rPr>
            </w:pPr>
          </w:p>
        </w:tc>
        <w:tc>
          <w:tcPr>
            <w:tcW w:w="82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840" w:type="dxa"/>
            <w:vAlign w:val="bottom"/>
            <w:tcBorders>
              <w:right w:val="single" w:sz="8" w:color="auto"/>
            </w:tcBorders>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700" w:type="dxa"/>
            <w:vAlign w:val="bottom"/>
            <w:vMerge w:val="continue"/>
          </w:tcPr>
          <w:p>
            <w:pPr>
              <w:spacing w:after="0"/>
              <w:rPr>
                <w:sz w:val="8"/>
                <w:szCs w:val="8"/>
                <w:color w:val="auto"/>
              </w:rPr>
            </w:pPr>
          </w:p>
        </w:tc>
        <w:tc>
          <w:tcPr>
            <w:tcW w:w="260" w:type="dxa"/>
            <w:vAlign w:val="bottom"/>
            <w:tcBorders>
              <w:right w:val="single" w:sz="8" w:color="auto"/>
            </w:tcBorders>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900" w:type="dxa"/>
            <w:vAlign w:val="bottom"/>
            <w:tcBorders>
              <w:right w:val="single" w:sz="8" w:color="auto"/>
            </w:tcBorders>
            <w:vMerge w:val="continue"/>
          </w:tcPr>
          <w:p>
            <w:pPr>
              <w:spacing w:after="0"/>
              <w:rPr>
                <w:sz w:val="8"/>
                <w:szCs w:val="8"/>
                <w:color w:val="auto"/>
              </w:rPr>
            </w:pPr>
          </w:p>
        </w:tc>
        <w:tc>
          <w:tcPr>
            <w:tcW w:w="1300" w:type="dxa"/>
            <w:vAlign w:val="bottom"/>
            <w:tcBorders>
              <w:right w:val="single" w:sz="8" w:color="auto"/>
            </w:tcBorders>
            <w:vMerge w:val="continue"/>
          </w:tcPr>
          <w:p>
            <w:pPr>
              <w:spacing w:after="0"/>
              <w:rPr>
                <w:sz w:val="8"/>
                <w:szCs w:val="8"/>
                <w:color w:val="auto"/>
              </w:rPr>
            </w:pPr>
          </w:p>
        </w:tc>
        <w:tc>
          <w:tcPr>
            <w:tcW w:w="9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8"/>
        </w:trPr>
        <w:tc>
          <w:tcPr>
            <w:tcW w:w="88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tcPr>
          <w:p>
            <w:pPr>
              <w:spacing w:after="0"/>
              <w:rPr>
                <w:sz w:val="6"/>
                <w:szCs w:val="6"/>
                <w:color w:val="auto"/>
              </w:rPr>
            </w:pPr>
          </w:p>
        </w:tc>
        <w:tc>
          <w:tcPr>
            <w:tcW w:w="82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840" w:type="dxa"/>
            <w:vAlign w:val="bottom"/>
            <w:tcBorders>
              <w:right w:val="single" w:sz="8" w:color="auto"/>
            </w:tcBorders>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700" w:type="dxa"/>
            <w:vAlign w:val="bottom"/>
          </w:tcPr>
          <w:p>
            <w:pPr>
              <w:spacing w:after="0"/>
              <w:rPr>
                <w:sz w:val="6"/>
                <w:szCs w:val="6"/>
                <w:color w:val="auto"/>
              </w:rPr>
            </w:pPr>
          </w:p>
        </w:tc>
        <w:tc>
          <w:tcPr>
            <w:tcW w:w="26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900" w:type="dxa"/>
            <w:vAlign w:val="bottom"/>
            <w:tcBorders>
              <w:right w:val="single" w:sz="8" w:color="auto"/>
            </w:tcBorders>
          </w:tcPr>
          <w:p>
            <w:pPr>
              <w:spacing w:after="0"/>
              <w:rPr>
                <w:sz w:val="6"/>
                <w:szCs w:val="6"/>
                <w:color w:val="auto"/>
              </w:rPr>
            </w:pPr>
          </w:p>
        </w:tc>
        <w:tc>
          <w:tcPr>
            <w:tcW w:w="1300" w:type="dxa"/>
            <w:vAlign w:val="bottom"/>
            <w:tcBorders>
              <w:right w:val="single" w:sz="8" w:color="auto"/>
            </w:tcBorders>
          </w:tcPr>
          <w:p>
            <w:pPr>
              <w:spacing w:after="0"/>
              <w:rPr>
                <w:sz w:val="6"/>
                <w:szCs w:val="6"/>
                <w:color w:val="auto"/>
              </w:rPr>
            </w:pP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right w:val="single" w:sz="8" w:color="auto"/>
            </w:tcBorders>
          </w:tcPr>
          <w:p>
            <w:pPr>
              <w:spacing w:after="0"/>
              <w:rPr>
                <w:sz w:val="2"/>
                <w:szCs w:val="2"/>
                <w:color w:val="auto"/>
              </w:rPr>
            </w:pPr>
          </w:p>
        </w:tc>
        <w:tc>
          <w:tcPr>
            <w:tcW w:w="1140" w:type="dxa"/>
            <w:vAlign w:val="bottom"/>
            <w:tcBorders>
              <w:bottom w:val="single" w:sz="8" w:color="auto"/>
              <w:right w:val="single" w:sz="8" w:color="auto"/>
            </w:tcBorders>
          </w:tcPr>
          <w:p>
            <w:pPr>
              <w:spacing w:after="0"/>
              <w:rPr>
                <w:sz w:val="2"/>
                <w:szCs w:val="2"/>
                <w:color w:val="auto"/>
              </w:rPr>
            </w:pPr>
          </w:p>
        </w:tc>
        <w:tc>
          <w:tcPr>
            <w:tcW w:w="82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840" w:type="dxa"/>
            <w:vAlign w:val="bottom"/>
            <w:tcBorders>
              <w:bottom w:val="single" w:sz="8" w:color="auto"/>
              <w:right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900" w:type="dxa"/>
            <w:vAlign w:val="bottom"/>
            <w:tcBorders>
              <w:bottom w:val="single" w:sz="8" w:color="auto"/>
              <w:right w:val="single" w:sz="8" w:color="auto"/>
            </w:tcBorders>
          </w:tcPr>
          <w:p>
            <w:pPr>
              <w:spacing w:after="0"/>
              <w:rPr>
                <w:sz w:val="2"/>
                <w:szCs w:val="2"/>
                <w:color w:val="auto"/>
              </w:rPr>
            </w:pPr>
          </w:p>
        </w:tc>
        <w:tc>
          <w:tcPr>
            <w:tcW w:w="1300" w:type="dxa"/>
            <w:vAlign w:val="bottom"/>
            <w:tcBorders>
              <w:bottom w:val="single" w:sz="8" w:color="auto"/>
              <w:right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80" w:type="dxa"/>
            <w:vAlign w:val="bottom"/>
            <w:tcBorders>
              <w:left w:val="single" w:sz="8" w:color="auto"/>
            </w:tcBorders>
          </w:tcPr>
          <w:p>
            <w:pPr>
              <w:spacing w:after="0"/>
              <w:rPr>
                <w:sz w:val="22"/>
                <w:szCs w:val="22"/>
                <w:color w:val="auto"/>
              </w:rPr>
            </w:pPr>
          </w:p>
        </w:tc>
        <w:tc>
          <w:tcPr>
            <w:tcW w:w="1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Rule 457(p)</w:t>
            </w: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92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5"/>
        </w:trPr>
        <w:tc>
          <w:tcPr>
            <w:tcW w:w="880" w:type="dxa"/>
            <w:vAlign w:val="bottom"/>
            <w:tcBorders>
              <w:left w:val="single" w:sz="8" w:color="auto"/>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92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2"/>
              </w:rPr>
              <w:t>August 13,</w:t>
            </w:r>
          </w:p>
        </w:tc>
        <w:tc>
          <w:tcPr>
            <w:tcW w:w="720" w:type="dxa"/>
            <w:vAlign w:val="bottom"/>
          </w:tcPr>
          <w:p>
            <w:pPr>
              <w:spacing w:after="0"/>
              <w:rPr>
                <w:sz w:val="13"/>
                <w:szCs w:val="13"/>
                <w:color w:val="auto"/>
              </w:rPr>
            </w:pP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right w:val="single" w:sz="8" w:color="auto"/>
            </w:tcBorders>
            <w:vMerge w:val="restart"/>
          </w:tcPr>
          <w:p>
            <w:pPr>
              <w:jc w:val="right"/>
              <w:ind w:right="115"/>
              <w:spacing w:after="0"/>
              <w:rPr>
                <w:sz w:val="20"/>
                <w:szCs w:val="20"/>
                <w:color w:val="auto"/>
              </w:rPr>
            </w:pPr>
            <w:r>
              <w:rPr>
                <w:rFonts w:ascii="Arial" w:cs="Arial" w:eastAsia="Arial" w:hAnsi="Arial"/>
                <w:sz w:val="9"/>
                <w:szCs w:val="9"/>
                <w:color w:val="auto"/>
                <w:w w:val="72"/>
              </w:rPr>
              <w:t>(1)</w:t>
            </w: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1"/>
              </w:rPr>
              <w:t>Class A</w:t>
            </w:r>
          </w:p>
        </w:tc>
        <w:tc>
          <w:tcPr>
            <w:tcW w:w="9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43,673,988</w:t>
            </w: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73"/>
        </w:trPr>
        <w:tc>
          <w:tcPr>
            <w:tcW w:w="880" w:type="dxa"/>
            <w:vAlign w:val="bottom"/>
            <w:tcBorders>
              <w:left w:val="single" w:sz="8" w:color="auto"/>
              <w:right w:val="single" w:sz="8" w:color="auto"/>
            </w:tcBorders>
            <w:vMerge w:val="continue"/>
          </w:tcPr>
          <w:p>
            <w:pPr>
              <w:spacing w:after="0"/>
              <w:rPr>
                <w:sz w:val="6"/>
                <w:szCs w:val="6"/>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2"/>
              </w:rPr>
              <w:t>S-4</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333-258815</w:t>
            </w:r>
          </w:p>
        </w:tc>
        <w:tc>
          <w:tcPr>
            <w:tcW w:w="840" w:type="dxa"/>
            <w:vAlign w:val="bottom"/>
            <w:tcBorders>
              <w:right w:val="single" w:sz="8" w:color="auto"/>
            </w:tcBorders>
            <w:vMerge w:val="continue"/>
          </w:tcPr>
          <w:p>
            <w:pPr>
              <w:spacing w:after="0"/>
              <w:rPr>
                <w:sz w:val="6"/>
                <w:szCs w:val="6"/>
                <w:color w:val="auto"/>
              </w:rPr>
            </w:pPr>
          </w:p>
        </w:tc>
        <w:tc>
          <w:tcPr>
            <w:tcW w:w="72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87"/>
              </w:rPr>
              <w:t>$192,507.12</w:t>
            </w:r>
          </w:p>
        </w:tc>
        <w:tc>
          <w:tcPr>
            <w:tcW w:w="260" w:type="dxa"/>
            <w:vAlign w:val="bottom"/>
            <w:tcBorders>
              <w:right w:val="single" w:sz="8" w:color="auto"/>
            </w:tcBorders>
            <w:vMerge w:val="continue"/>
          </w:tcPr>
          <w:p>
            <w:pPr>
              <w:spacing w:after="0"/>
              <w:rPr>
                <w:sz w:val="6"/>
                <w:szCs w:val="6"/>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7"/>
              </w:rPr>
              <w:t>Equity</w:t>
            </w: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1"/>
              </w:rPr>
              <w:t>Common</w:t>
            </w:r>
          </w:p>
        </w:tc>
        <w:tc>
          <w:tcPr>
            <w:tcW w:w="900" w:type="dxa"/>
            <w:vAlign w:val="bottom"/>
            <w:tcBorders>
              <w:right w:val="single" w:sz="8" w:color="auto"/>
            </w:tcBorders>
            <w:vMerge w:val="continue"/>
          </w:tcPr>
          <w:p>
            <w:pPr>
              <w:spacing w:after="0"/>
              <w:rPr>
                <w:sz w:val="6"/>
                <w:szCs w:val="6"/>
                <w:color w:val="auto"/>
              </w:rPr>
            </w:pPr>
          </w:p>
        </w:tc>
        <w:tc>
          <w:tcPr>
            <w:tcW w:w="130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$15,057,382,692.48</w:t>
            </w:r>
          </w:p>
        </w:tc>
        <w:tc>
          <w:tcPr>
            <w:tcW w:w="920" w:type="dxa"/>
            <w:vAlign w:val="bottom"/>
            <w:tcBorders>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141"/>
        </w:trPr>
        <w:tc>
          <w:tcPr>
            <w:tcW w:w="880" w:type="dxa"/>
            <w:vAlign w:val="bottom"/>
            <w:tcBorders>
              <w:left w:val="single" w:sz="8" w:color="auto"/>
              <w:right w:val="single" w:sz="8" w:color="auto"/>
            </w:tcBorders>
          </w:tcPr>
          <w:p>
            <w:pPr>
              <w:jc w:val="center"/>
              <w:spacing w:after="0" w:line="141" w:lineRule="exact"/>
              <w:rPr>
                <w:sz w:val="20"/>
                <w:szCs w:val="20"/>
                <w:color w:val="auto"/>
              </w:rPr>
            </w:pPr>
            <w:r>
              <w:rPr>
                <w:rFonts w:ascii="Arial" w:cs="Arial" w:eastAsia="Arial" w:hAnsi="Arial"/>
                <w:sz w:val="12"/>
                <w:szCs w:val="12"/>
                <w:color w:val="auto"/>
              </w:rPr>
              <w:t>Claims</w:t>
            </w:r>
            <w:r>
              <w:rPr>
                <w:rFonts w:ascii="Arial" w:cs="Arial" w:eastAsia="Arial" w:hAnsi="Arial"/>
                <w:sz w:val="16"/>
                <w:szCs w:val="16"/>
                <w:color w:val="auto"/>
                <w:vertAlign w:val="superscript"/>
              </w:rPr>
              <w:t>(1)</w:t>
            </w:r>
          </w:p>
        </w:tc>
        <w:tc>
          <w:tcPr>
            <w:tcW w:w="1140" w:type="dxa"/>
            <w:vAlign w:val="bottom"/>
            <w:tcBorders>
              <w:right w:val="single" w:sz="8" w:color="auto"/>
            </w:tcBorders>
            <w:vMerge w:val="continue"/>
          </w:tcPr>
          <w:p>
            <w:pPr>
              <w:spacing w:after="0"/>
              <w:rPr>
                <w:sz w:val="12"/>
                <w:szCs w:val="12"/>
                <w:color w:val="auto"/>
              </w:rPr>
            </w:pPr>
          </w:p>
        </w:tc>
        <w:tc>
          <w:tcPr>
            <w:tcW w:w="82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vMerge w:val="continue"/>
          </w:tcPr>
          <w:p>
            <w:pPr>
              <w:spacing w:after="0"/>
              <w:rPr>
                <w:sz w:val="12"/>
                <w:szCs w:val="12"/>
                <w:color w:val="auto"/>
              </w:rPr>
            </w:pPr>
          </w:p>
        </w:tc>
        <w:tc>
          <w:tcPr>
            <w:tcW w:w="84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89"/>
              </w:rPr>
              <w:t>2021</w:t>
            </w:r>
          </w:p>
        </w:tc>
        <w:tc>
          <w:tcPr>
            <w:tcW w:w="7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700" w:type="dxa"/>
            <w:vAlign w:val="bottom"/>
            <w:vMerge w:val="continue"/>
          </w:tcPr>
          <w:p>
            <w:pPr>
              <w:spacing w:after="0"/>
              <w:rPr>
                <w:sz w:val="12"/>
                <w:szCs w:val="12"/>
                <w:color w:val="auto"/>
              </w:rPr>
            </w:pPr>
          </w:p>
        </w:tc>
        <w:tc>
          <w:tcPr>
            <w:tcW w:w="260" w:type="dxa"/>
            <w:vAlign w:val="bottom"/>
            <w:tcBorders>
              <w:right w:val="single" w:sz="8" w:color="auto"/>
            </w:tcBorders>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900" w:type="dxa"/>
            <w:vAlign w:val="bottom"/>
            <w:tcBorders>
              <w:right w:val="single" w:sz="8" w:color="auto"/>
            </w:tcBorders>
          </w:tcPr>
          <w:p>
            <w:pPr>
              <w:jc w:val="center"/>
              <w:spacing w:after="0" w:line="141" w:lineRule="exact"/>
              <w:rPr>
                <w:sz w:val="20"/>
                <w:szCs w:val="20"/>
                <w:color w:val="auto"/>
              </w:rPr>
            </w:pPr>
            <w:r>
              <w:rPr>
                <w:rFonts w:ascii="Arial" w:cs="Arial" w:eastAsia="Arial" w:hAnsi="Arial"/>
                <w:sz w:val="14"/>
                <w:szCs w:val="14"/>
                <w:color w:val="auto"/>
                <w:w w:val="85"/>
              </w:rPr>
              <w:t>shares</w:t>
            </w:r>
          </w:p>
        </w:tc>
        <w:tc>
          <w:tcPr>
            <w:tcW w:w="1300" w:type="dxa"/>
            <w:vAlign w:val="bottom"/>
            <w:tcBorders>
              <w:right w:val="single" w:sz="8" w:color="auto"/>
            </w:tcBorders>
            <w:vMerge w:val="continue"/>
          </w:tcPr>
          <w:p>
            <w:pPr>
              <w:spacing w:after="0"/>
              <w:rPr>
                <w:sz w:val="12"/>
                <w:szCs w:val="12"/>
                <w:color w:val="auto"/>
              </w:rPr>
            </w:pPr>
          </w:p>
        </w:tc>
        <w:tc>
          <w:tcPr>
            <w:tcW w:w="92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1"/>
              </w:rPr>
              <w:t>Stock</w:t>
            </w: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8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4"/>
                <w:szCs w:val="14"/>
                <w:color w:val="auto"/>
                <w:w w:val="88"/>
              </w:rPr>
              <w:t>Fee Offset</w:t>
            </w:r>
          </w:p>
        </w:tc>
        <w:tc>
          <w:tcPr>
            <w:tcW w:w="1140" w:type="dxa"/>
            <w:vAlign w:val="bottom"/>
            <w:tcBorders>
              <w:right w:val="single" w:sz="8" w:color="auto"/>
            </w:tcBorders>
          </w:tcPr>
          <w:p>
            <w:pPr>
              <w:jc w:val="center"/>
              <w:spacing w:after="0" w:line="157" w:lineRule="exact"/>
              <w:rPr>
                <w:sz w:val="20"/>
                <w:szCs w:val="20"/>
                <w:color w:val="auto"/>
              </w:rPr>
            </w:pPr>
            <w:r>
              <w:rPr>
                <w:rFonts w:ascii="Arial" w:cs="Arial" w:eastAsia="Arial" w:hAnsi="Arial"/>
                <w:sz w:val="14"/>
                <w:szCs w:val="14"/>
                <w:color w:val="auto"/>
                <w:w w:val="92"/>
              </w:rPr>
              <w:t>Zoom Video</w:t>
            </w:r>
          </w:p>
        </w:tc>
        <w:tc>
          <w:tcPr>
            <w:tcW w:w="82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840" w:type="dxa"/>
            <w:vAlign w:val="bottom"/>
            <w:tcBorders>
              <w:right w:val="single" w:sz="8" w:color="auto"/>
            </w:tcBorders>
          </w:tcPr>
          <w:p>
            <w:pPr>
              <w:spacing w:after="0"/>
              <w:rPr>
                <w:sz w:val="13"/>
                <w:szCs w:val="13"/>
                <w:color w:val="auto"/>
              </w:rPr>
            </w:pPr>
          </w:p>
        </w:tc>
        <w:tc>
          <w:tcPr>
            <w:tcW w:w="720" w:type="dxa"/>
            <w:vAlign w:val="bottom"/>
            <w:vMerge w:val="restart"/>
          </w:tcPr>
          <w:p>
            <w:pPr>
              <w:jc w:val="center"/>
              <w:spacing w:after="0"/>
              <w:rPr>
                <w:sz w:val="20"/>
                <w:szCs w:val="20"/>
                <w:color w:val="auto"/>
              </w:rPr>
            </w:pPr>
            <w:r>
              <w:rPr>
                <w:rFonts w:ascii="Arial" w:cs="Arial" w:eastAsia="Arial" w:hAnsi="Arial"/>
                <w:sz w:val="14"/>
                <w:szCs w:val="14"/>
                <w:color w:val="auto"/>
                <w:w w:val="89"/>
              </w:rPr>
              <w:t>August 13,</w:t>
            </w:r>
          </w:p>
        </w:tc>
        <w:tc>
          <w:tcPr>
            <w:tcW w:w="100" w:type="dxa"/>
            <w:vAlign w:val="bottom"/>
            <w:tcBorders>
              <w:right w:val="single" w:sz="8" w:color="auto"/>
            </w:tcBorders>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900" w:type="dxa"/>
            <w:vAlign w:val="bottom"/>
            <w:tcBorders>
              <w:right w:val="single" w:sz="8" w:color="auto"/>
            </w:tcBorders>
          </w:tcPr>
          <w:p>
            <w:pPr>
              <w:spacing w:after="0"/>
              <w:rPr>
                <w:sz w:val="13"/>
                <w:szCs w:val="13"/>
                <w:color w:val="auto"/>
              </w:rPr>
            </w:pPr>
          </w:p>
        </w:tc>
        <w:tc>
          <w:tcPr>
            <w:tcW w:w="1300" w:type="dxa"/>
            <w:vAlign w:val="bottom"/>
            <w:tcBorders>
              <w:right w:val="single" w:sz="8" w:color="auto"/>
            </w:tcBorders>
          </w:tcPr>
          <w:p>
            <w:pPr>
              <w:spacing w:after="0"/>
              <w:rPr>
                <w:sz w:val="13"/>
                <w:szCs w:val="13"/>
                <w:color w:val="auto"/>
              </w:rPr>
            </w:pPr>
          </w:p>
        </w:tc>
        <w:tc>
          <w:tcPr>
            <w:tcW w:w="9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6"/>
              </w:rPr>
              <w:t>$192,507.12</w:t>
            </w:r>
            <w:r>
              <w:rPr>
                <w:rFonts w:ascii="Arial" w:cs="Arial" w:eastAsia="Arial" w:hAnsi="Arial"/>
                <w:sz w:val="18"/>
                <w:szCs w:val="18"/>
                <w:color w:val="auto"/>
                <w:w w:val="86"/>
                <w:vertAlign w:val="superscript"/>
              </w:rPr>
              <w:t>(1)</w:t>
            </w:r>
          </w:p>
        </w:tc>
        <w:tc>
          <w:tcPr>
            <w:tcW w:w="0" w:type="dxa"/>
            <w:vAlign w:val="bottom"/>
          </w:tcPr>
          <w:p>
            <w:pPr>
              <w:spacing w:after="0"/>
              <w:rPr>
                <w:sz w:val="1"/>
                <w:szCs w:val="1"/>
                <w:color w:val="auto"/>
              </w:rPr>
            </w:pPr>
          </w:p>
        </w:tc>
      </w:tr>
      <w:tr>
        <w:trPr>
          <w:trHeight w:val="84"/>
        </w:trPr>
        <w:tc>
          <w:tcPr>
            <w:tcW w:w="880" w:type="dxa"/>
            <w:vAlign w:val="bottom"/>
            <w:tcBorders>
              <w:left w:val="single" w:sz="8" w:color="auto"/>
              <w:right w:val="single" w:sz="8" w:color="auto"/>
            </w:tcBorders>
            <w:vMerge w:val="continue"/>
          </w:tcPr>
          <w:p>
            <w:pPr>
              <w:spacing w:after="0"/>
              <w:rPr>
                <w:sz w:val="7"/>
                <w:szCs w:val="7"/>
                <w:color w:val="auto"/>
              </w:rPr>
            </w:pPr>
          </w:p>
        </w:tc>
        <w:tc>
          <w:tcPr>
            <w:tcW w:w="11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Communications,</w:t>
            </w:r>
          </w:p>
        </w:tc>
        <w:tc>
          <w:tcPr>
            <w:tcW w:w="8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82"/>
              </w:rPr>
              <w:t>S-4</w:t>
            </w:r>
          </w:p>
        </w:tc>
        <w:tc>
          <w:tcPr>
            <w:tcW w:w="84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w w:val="90"/>
              </w:rPr>
              <w:t>333-258815</w:t>
            </w:r>
          </w:p>
        </w:tc>
        <w:tc>
          <w:tcPr>
            <w:tcW w:w="840" w:type="dxa"/>
            <w:vAlign w:val="bottom"/>
            <w:tcBorders>
              <w:right w:val="single" w:sz="8" w:color="auto"/>
            </w:tcBorders>
          </w:tcPr>
          <w:p>
            <w:pPr>
              <w:spacing w:after="0"/>
              <w:rPr>
                <w:sz w:val="7"/>
                <w:szCs w:val="7"/>
                <w:color w:val="auto"/>
              </w:rPr>
            </w:pPr>
          </w:p>
        </w:tc>
        <w:tc>
          <w:tcPr>
            <w:tcW w:w="720" w:type="dxa"/>
            <w:vAlign w:val="bottom"/>
            <w:vMerge w:val="continue"/>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900" w:type="dxa"/>
            <w:vAlign w:val="bottom"/>
            <w:tcBorders>
              <w:right w:val="single" w:sz="8" w:color="auto"/>
            </w:tcBorders>
          </w:tcPr>
          <w:p>
            <w:pPr>
              <w:spacing w:after="0"/>
              <w:rPr>
                <w:sz w:val="7"/>
                <w:szCs w:val="7"/>
                <w:color w:val="auto"/>
              </w:rPr>
            </w:pPr>
          </w:p>
        </w:tc>
        <w:tc>
          <w:tcPr>
            <w:tcW w:w="1300" w:type="dxa"/>
            <w:vAlign w:val="bottom"/>
            <w:tcBorders>
              <w:right w:val="single" w:sz="8" w:color="auto"/>
            </w:tcBorders>
          </w:tcPr>
          <w:p>
            <w:pPr>
              <w:spacing w:after="0"/>
              <w:rPr>
                <w:sz w:val="7"/>
                <w:szCs w:val="7"/>
                <w:color w:val="auto"/>
              </w:rPr>
            </w:pPr>
          </w:p>
        </w:tc>
        <w:tc>
          <w:tcPr>
            <w:tcW w:w="92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0"/>
        </w:trPr>
        <w:tc>
          <w:tcPr>
            <w:tcW w:w="880" w:type="dxa"/>
            <w:vAlign w:val="bottom"/>
            <w:tcBorders>
              <w:left w:val="single" w:sz="8" w:color="auto"/>
              <w:right w:val="single" w:sz="8" w:color="auto"/>
            </w:tcBorders>
          </w:tcPr>
          <w:p>
            <w:pPr>
              <w:jc w:val="center"/>
              <w:spacing w:after="0" w:line="131" w:lineRule="exact"/>
              <w:rPr>
                <w:sz w:val="20"/>
                <w:szCs w:val="20"/>
                <w:color w:val="auto"/>
              </w:rPr>
            </w:pPr>
            <w:r>
              <w:rPr>
                <w:rFonts w:ascii="Arial" w:cs="Arial" w:eastAsia="Arial" w:hAnsi="Arial"/>
                <w:sz w:val="12"/>
                <w:szCs w:val="12"/>
                <w:color w:val="auto"/>
                <w:w w:val="95"/>
              </w:rPr>
              <w:t>Sources</w:t>
            </w:r>
            <w:r>
              <w:rPr>
                <w:rFonts w:ascii="Arial" w:cs="Arial" w:eastAsia="Arial" w:hAnsi="Arial"/>
                <w:sz w:val="15"/>
                <w:szCs w:val="15"/>
                <w:color w:val="auto"/>
                <w:w w:val="95"/>
                <w:vertAlign w:val="superscript"/>
              </w:rPr>
              <w:t>(1)</w:t>
            </w:r>
          </w:p>
        </w:tc>
        <w:tc>
          <w:tcPr>
            <w:tcW w:w="1140" w:type="dxa"/>
            <w:vAlign w:val="bottom"/>
            <w:tcBorders>
              <w:right w:val="single" w:sz="8" w:color="auto"/>
            </w:tcBorders>
            <w:vMerge w:val="continue"/>
          </w:tcPr>
          <w:p>
            <w:pPr>
              <w:spacing w:after="0"/>
              <w:rPr>
                <w:sz w:val="11"/>
                <w:szCs w:val="11"/>
                <w:color w:val="auto"/>
              </w:rPr>
            </w:pPr>
          </w:p>
        </w:tc>
        <w:tc>
          <w:tcPr>
            <w:tcW w:w="82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vMerge w:val="continue"/>
          </w:tcPr>
          <w:p>
            <w:pPr>
              <w:spacing w:after="0"/>
              <w:rPr>
                <w:sz w:val="11"/>
                <w:szCs w:val="11"/>
                <w:color w:val="auto"/>
              </w:rPr>
            </w:pPr>
          </w:p>
        </w:tc>
        <w:tc>
          <w:tcPr>
            <w:tcW w:w="840" w:type="dxa"/>
            <w:vAlign w:val="bottom"/>
            <w:tcBorders>
              <w:right w:val="single" w:sz="8" w:color="auto"/>
            </w:tcBorders>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9"/>
              </w:rPr>
              <w:t>2021</w:t>
            </w:r>
          </w:p>
        </w:tc>
        <w:tc>
          <w:tcPr>
            <w:tcW w:w="100" w:type="dxa"/>
            <w:vAlign w:val="bottom"/>
            <w:tcBorders>
              <w:right w:val="single" w:sz="8" w:color="auto"/>
            </w:tcBorders>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900" w:type="dxa"/>
            <w:vAlign w:val="bottom"/>
            <w:tcBorders>
              <w:right w:val="single" w:sz="8" w:color="auto"/>
            </w:tcBorders>
          </w:tcPr>
          <w:p>
            <w:pPr>
              <w:spacing w:after="0"/>
              <w:rPr>
                <w:sz w:val="11"/>
                <w:szCs w:val="11"/>
                <w:color w:val="auto"/>
              </w:rPr>
            </w:pPr>
          </w:p>
        </w:tc>
        <w:tc>
          <w:tcPr>
            <w:tcW w:w="1300" w:type="dxa"/>
            <w:vAlign w:val="bottom"/>
            <w:tcBorders>
              <w:right w:val="single" w:sz="8" w:color="auto"/>
            </w:tcBorders>
          </w:tcPr>
          <w:p>
            <w:pPr>
              <w:spacing w:after="0"/>
              <w:rPr>
                <w:sz w:val="11"/>
                <w:szCs w:val="11"/>
                <w:color w:val="auto"/>
              </w:rPr>
            </w:pPr>
          </w:p>
        </w:tc>
        <w:tc>
          <w:tcPr>
            <w:tcW w:w="920" w:type="dxa"/>
            <w:vAlign w:val="bottom"/>
            <w:tcBorders>
              <w:right w:val="single" w:sz="8" w:color="auto"/>
            </w:tcBorders>
          </w:tcPr>
          <w:p>
            <w:pPr>
              <w:jc w:val="center"/>
              <w:spacing w:after="0"/>
              <w:rPr>
                <w:sz w:val="20"/>
                <w:szCs w:val="20"/>
                <w:color w:val="auto"/>
              </w:rPr>
            </w:pPr>
            <w:r>
              <w:rPr>
                <w:rFonts w:ascii="Arial" w:cs="Arial" w:eastAsia="Arial" w:hAnsi="Arial"/>
                <w:sz w:val="9"/>
                <w:szCs w:val="9"/>
                <w:color w:val="auto"/>
                <w:w w:val="90"/>
              </w:rPr>
              <w:t>(2)</w:t>
            </w:r>
          </w:p>
        </w:tc>
        <w:tc>
          <w:tcPr>
            <w:tcW w:w="0" w:type="dxa"/>
            <w:vAlign w:val="bottom"/>
          </w:tcPr>
          <w:p>
            <w:pPr>
              <w:spacing w:after="0"/>
              <w:rPr>
                <w:sz w:val="1"/>
                <w:szCs w:val="1"/>
                <w:color w:val="auto"/>
              </w:rPr>
            </w:pPr>
          </w:p>
        </w:tc>
      </w:tr>
      <w:tr>
        <w:trPr>
          <w:trHeight w:val="143"/>
        </w:trPr>
        <w:tc>
          <w:tcPr>
            <w:tcW w:w="880" w:type="dxa"/>
            <w:vAlign w:val="bottom"/>
            <w:tcBorders>
              <w:left w:val="single" w:sz="8" w:color="auto"/>
              <w:bottom w:val="single" w:sz="8" w:color="auto"/>
              <w:right w:val="single" w:sz="8" w:color="auto"/>
            </w:tcBorders>
          </w:tcPr>
          <w:p>
            <w:pPr>
              <w:spacing w:after="0"/>
              <w:rPr>
                <w:sz w:val="12"/>
                <w:szCs w:val="12"/>
                <w:color w:val="auto"/>
              </w:rPr>
            </w:pPr>
          </w:p>
        </w:tc>
        <w:tc>
          <w:tcPr>
            <w:tcW w:w="1140" w:type="dxa"/>
            <w:vAlign w:val="bottom"/>
            <w:tcBorders>
              <w:bottom w:val="single" w:sz="8" w:color="auto"/>
              <w:right w:val="single" w:sz="8" w:color="auto"/>
            </w:tcBorders>
          </w:tcPr>
          <w:p>
            <w:pPr>
              <w:jc w:val="center"/>
              <w:spacing w:after="0" w:line="143" w:lineRule="exact"/>
              <w:rPr>
                <w:sz w:val="20"/>
                <w:szCs w:val="20"/>
                <w:color w:val="auto"/>
              </w:rPr>
            </w:pPr>
            <w:r>
              <w:rPr>
                <w:rFonts w:ascii="Arial" w:cs="Arial" w:eastAsia="Arial" w:hAnsi="Arial"/>
                <w:sz w:val="14"/>
                <w:szCs w:val="14"/>
                <w:color w:val="auto"/>
                <w:w w:val="97"/>
              </w:rPr>
              <w:t>Inc.</w:t>
            </w:r>
          </w:p>
        </w:tc>
        <w:tc>
          <w:tcPr>
            <w:tcW w:w="82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840" w:type="dxa"/>
            <w:vAlign w:val="bottom"/>
            <w:tcBorders>
              <w:bottom w:val="single" w:sz="8" w:color="auto"/>
              <w:right w:val="single" w:sz="8" w:color="auto"/>
            </w:tcBorders>
          </w:tcPr>
          <w:p>
            <w:pPr>
              <w:spacing w:after="0"/>
              <w:rPr>
                <w:sz w:val="12"/>
                <w:szCs w:val="12"/>
                <w:color w:val="auto"/>
              </w:rPr>
            </w:pPr>
          </w:p>
        </w:tc>
        <w:tc>
          <w:tcPr>
            <w:tcW w:w="720" w:type="dxa"/>
            <w:vAlign w:val="bottom"/>
            <w:tcBorders>
              <w:bottom w:val="single" w:sz="8" w:color="auto"/>
            </w:tcBorders>
          </w:tcPr>
          <w:p>
            <w:pPr>
              <w:spacing w:after="0"/>
              <w:rPr>
                <w:sz w:val="12"/>
                <w:szCs w:val="12"/>
                <w:color w:val="auto"/>
              </w:rPr>
            </w:pPr>
          </w:p>
        </w:tc>
        <w:tc>
          <w:tcPr>
            <w:tcW w:w="100" w:type="dxa"/>
            <w:vAlign w:val="bottom"/>
            <w:tcBorders>
              <w:bottom w:val="single" w:sz="8" w:color="auto"/>
              <w:right w:val="single" w:sz="8" w:color="auto"/>
            </w:tcBorders>
          </w:tcPr>
          <w:p>
            <w:pPr>
              <w:spacing w:after="0"/>
              <w:rPr>
                <w:sz w:val="12"/>
                <w:szCs w:val="12"/>
                <w:color w:val="auto"/>
              </w:rPr>
            </w:pPr>
          </w:p>
        </w:tc>
        <w:tc>
          <w:tcPr>
            <w:tcW w:w="700" w:type="dxa"/>
            <w:vAlign w:val="bottom"/>
            <w:tcBorders>
              <w:bottom w:val="single" w:sz="8" w:color="auto"/>
            </w:tcBorders>
          </w:tcPr>
          <w:p>
            <w:pPr>
              <w:spacing w:after="0"/>
              <w:rPr>
                <w:sz w:val="12"/>
                <w:szCs w:val="12"/>
                <w:color w:val="auto"/>
              </w:rPr>
            </w:pPr>
          </w:p>
        </w:tc>
        <w:tc>
          <w:tcPr>
            <w:tcW w:w="26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900" w:type="dxa"/>
            <w:vAlign w:val="bottom"/>
            <w:tcBorders>
              <w:bottom w:val="single" w:sz="8" w:color="auto"/>
              <w:right w:val="single" w:sz="8" w:color="auto"/>
            </w:tcBorders>
          </w:tcPr>
          <w:p>
            <w:pPr>
              <w:spacing w:after="0"/>
              <w:rPr>
                <w:sz w:val="12"/>
                <w:szCs w:val="12"/>
                <w:color w:val="auto"/>
              </w:rPr>
            </w:pPr>
          </w:p>
        </w:tc>
        <w:tc>
          <w:tcPr>
            <w:tcW w:w="1300" w:type="dxa"/>
            <w:vAlign w:val="bottom"/>
            <w:tcBorders>
              <w:bottom w:val="single" w:sz="8" w:color="auto"/>
              <w:right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both"/>
        <w:ind w:left="320" w:right="20" w:hanging="316"/>
        <w:spacing w:after="0" w:line="197" w:lineRule="auto"/>
        <w:tabs>
          <w:tab w:leader="none" w:pos="368"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Registrant previously registered $15,057,382,692.48 in aggregate offering amount of Class A common stock pursuant to the Registration Statement on Form S-4 (File Number 333-258815) filed on August 13, 2021, as amended by Pre-Effective Amendment No. 1 filed on August 26, 2021 (the “Prior Registration Statement”). The Registrant has withdrawn the Prior Registration Statement and no securities were sold thereunder.</w:t>
      </w:r>
    </w:p>
    <w:p>
      <w:pPr>
        <w:spacing w:after="0" w:line="2" w:lineRule="exact"/>
        <w:rPr>
          <w:rFonts w:ascii="Arial" w:cs="Arial" w:eastAsia="Arial" w:hAnsi="Arial"/>
          <w:sz w:val="17"/>
          <w:szCs w:val="17"/>
          <w:color w:val="auto"/>
        </w:rPr>
      </w:pPr>
    </w:p>
    <w:p>
      <w:pPr>
        <w:ind w:left="320" w:right="20" w:hanging="316"/>
        <w:spacing w:after="0" w:line="249" w:lineRule="auto"/>
        <w:tabs>
          <w:tab w:leader="none" w:pos="399" w:val="left"/>
        </w:tabs>
        <w:numPr>
          <w:ilvl w:val="0"/>
          <w:numId w:val="3"/>
        </w:numPr>
        <w:rPr>
          <w:rFonts w:ascii="Arial" w:cs="Arial" w:eastAsia="Arial" w:hAnsi="Arial"/>
          <w:sz w:val="15"/>
          <w:szCs w:val="15"/>
          <w:color w:val="auto"/>
        </w:rPr>
      </w:pPr>
      <w:r>
        <w:rPr>
          <w:rFonts w:ascii="Arial" w:cs="Arial" w:eastAsia="Arial" w:hAnsi="Arial"/>
          <w:sz w:val="15"/>
          <w:szCs w:val="15"/>
          <w:color w:val="auto"/>
        </w:rPr>
        <w:t>The Registrant expects to offset the registration fee due hereunder by an amount of fees that was previously paid with respect to the Prior Registration Statement pursuant to Rule 457(p) under the Securities Act. The fee previously paid for the Prior Registration Statement was $1,642,760.45.</w:t>
      </w:r>
    </w:p>
    <w:p>
      <w:pPr>
        <w:sectPr>
          <w:pgSz w:w="11900" w:h="16838" w:orient="portrait"/>
          <w:cols w:equalWidth="0" w:num="1">
            <w:col w:w="11260"/>
          </w:cols>
          <w:pgMar w:left="320" w:top="1440" w:right="319" w:bottom="1440" w:gutter="0" w:footer="0" w:header="0"/>
        </w:sectPr>
      </w:pPr>
    </w:p>
    <w:bookmarkStart w:id="7" w:name="page8"/>
    <w:bookmarkEnd w:id="7"/>
    <w:p>
      <w:pPr>
        <w:jc w:val="right"/>
        <w:spacing w:after="0"/>
        <w:rPr>
          <w:sz w:val="20"/>
          <w:szCs w:val="20"/>
          <w:color w:val="auto"/>
        </w:rPr>
      </w:pPr>
      <w:r>
        <w:rPr>
          <w:rFonts w:ascii="Arial" w:cs="Arial" w:eastAsia="Arial" w:hAnsi="Arial"/>
          <w:sz w:val="21"/>
          <w:szCs w:val="21"/>
          <w:color w:val="auto"/>
        </w:rPr>
        <w:t>Exhibit 5.1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spacing w:after="0"/>
        <w:rPr>
          <w:sz w:val="20"/>
          <w:szCs w:val="20"/>
          <w:color w:val="auto"/>
        </w:rPr>
      </w:pPr>
      <w:r>
        <w:rPr>
          <w:rFonts w:ascii="Arial" w:cs="Arial" w:eastAsia="Arial" w:hAnsi="Arial"/>
          <w:sz w:val="17"/>
          <w:szCs w:val="17"/>
          <w:color w:val="auto"/>
        </w:rPr>
        <w:t>Calise Y. Cheng</w:t>
      </w:r>
    </w:p>
    <w:p>
      <w:pPr>
        <w:spacing w:after="0" w:line="14" w:lineRule="exact"/>
        <w:rPr>
          <w:sz w:val="20"/>
          <w:szCs w:val="20"/>
          <w:color w:val="auto"/>
        </w:rPr>
      </w:pPr>
    </w:p>
    <w:p>
      <w:pPr>
        <w:spacing w:after="0"/>
        <w:rPr>
          <w:sz w:val="20"/>
          <w:szCs w:val="20"/>
          <w:color w:val="auto"/>
        </w:rPr>
      </w:pPr>
      <w:r>
        <w:rPr>
          <w:rFonts w:ascii="Arial" w:cs="Arial" w:eastAsia="Arial" w:hAnsi="Arial"/>
          <w:sz w:val="17"/>
          <w:szCs w:val="17"/>
          <w:color w:val="auto"/>
        </w:rPr>
        <w:t>+1 650 843 5172</w:t>
      </w:r>
    </w:p>
    <w:p>
      <w:pPr>
        <w:spacing w:after="0"/>
        <w:rPr>
          <w:sz w:val="20"/>
          <w:szCs w:val="20"/>
          <w:color w:val="auto"/>
        </w:rPr>
      </w:pPr>
      <w:r>
        <w:rPr>
          <w:rFonts w:ascii="Arial" w:cs="Arial" w:eastAsia="Arial" w:hAnsi="Arial"/>
          <w:sz w:val="17"/>
          <w:szCs w:val="17"/>
          <w:color w:val="auto"/>
        </w:rPr>
        <w:t>ccheng@cooley.com</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Zoom Video Communications, Inc.</w:t>
      </w:r>
    </w:p>
    <w:p>
      <w:pPr>
        <w:spacing w:after="0" w:line="183" w:lineRule="auto"/>
        <w:rPr>
          <w:sz w:val="20"/>
          <w:szCs w:val="20"/>
          <w:color w:val="auto"/>
        </w:rPr>
      </w:pPr>
      <w:r>
        <w:rPr>
          <w:rFonts w:ascii="Arial" w:cs="Arial" w:eastAsia="Arial" w:hAnsi="Arial"/>
          <w:sz w:val="17"/>
          <w:szCs w:val="17"/>
          <w:color w:val="auto"/>
        </w:rPr>
        <w:t>55 Almaden Boulevard, 6</w:t>
      </w:r>
      <w:r>
        <w:rPr>
          <w:rFonts w:ascii="Arial" w:cs="Arial" w:eastAsia="Arial" w:hAnsi="Arial"/>
          <w:sz w:val="22"/>
          <w:szCs w:val="22"/>
          <w:color w:val="auto"/>
          <w:vertAlign w:val="superscript"/>
        </w:rPr>
        <w:t>th</w:t>
      </w:r>
      <w:r>
        <w:rPr>
          <w:rFonts w:ascii="Arial" w:cs="Arial" w:eastAsia="Arial" w:hAnsi="Arial"/>
          <w:sz w:val="17"/>
          <w:szCs w:val="17"/>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San Jose, CA 95113</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 Registration on Form S-8</w:t>
      </w: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color w:val="auto"/>
        </w:rPr>
        <w:t>Ladies and Gentlemen:</w:t>
      </w:r>
    </w:p>
    <w:p>
      <w:pPr>
        <w:spacing w:after="0" w:line="222" w:lineRule="exact"/>
        <w:rPr>
          <w:sz w:val="20"/>
          <w:szCs w:val="20"/>
          <w:color w:val="auto"/>
        </w:rPr>
      </w:pPr>
    </w:p>
    <w:p>
      <w:pPr>
        <w:jc w:val="both"/>
        <w:spacing w:after="0" w:line="233" w:lineRule="auto"/>
        <w:rPr>
          <w:sz w:val="20"/>
          <w:szCs w:val="20"/>
          <w:color w:val="auto"/>
        </w:rPr>
      </w:pPr>
      <w:r>
        <w:rPr>
          <w:rFonts w:ascii="Arial" w:cs="Arial" w:eastAsia="Arial" w:hAnsi="Arial"/>
          <w:sz w:val="17"/>
          <w:szCs w:val="17"/>
          <w:color w:val="auto"/>
        </w:rPr>
        <w:t>We have acted as counsel to Zoom Video Communications, Inc., a Delaware corporation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connection with the filing of a registration statement on Form S-8 (the “</w:t>
      </w:r>
      <w:r>
        <w:rPr>
          <w:rFonts w:ascii="Arial" w:cs="Arial" w:eastAsia="Arial" w:hAnsi="Arial"/>
          <w:sz w:val="17"/>
          <w:szCs w:val="17"/>
          <w:b w:val="1"/>
          <w:bCs w:val="1"/>
          <w:i w:val="1"/>
          <w:iCs w:val="1"/>
          <w:color w:val="auto"/>
        </w:rPr>
        <w:t>Registration Statement</w:t>
      </w:r>
      <w:r>
        <w:rPr>
          <w:rFonts w:ascii="Arial" w:cs="Arial" w:eastAsia="Arial" w:hAnsi="Arial"/>
          <w:sz w:val="17"/>
          <w:szCs w:val="17"/>
          <w:color w:val="auto"/>
        </w:rPr>
        <w:t>”) with the Securities and Exchange Commission covering the offering of up to 17,942,268 shares (the “</w:t>
      </w:r>
      <w:r>
        <w:rPr>
          <w:rFonts w:ascii="Arial" w:cs="Arial" w:eastAsia="Arial" w:hAnsi="Arial"/>
          <w:sz w:val="17"/>
          <w:szCs w:val="17"/>
          <w:b w:val="1"/>
          <w:bCs w:val="1"/>
          <w:i w:val="1"/>
          <w:iCs w:val="1"/>
          <w:color w:val="auto"/>
        </w:rPr>
        <w:t>Shares</w:t>
      </w:r>
      <w:r>
        <w:rPr>
          <w:rFonts w:ascii="Arial" w:cs="Arial" w:eastAsia="Arial" w:hAnsi="Arial"/>
          <w:sz w:val="17"/>
          <w:szCs w:val="17"/>
          <w:color w:val="auto"/>
        </w:rPr>
        <w:t>”) of Class A common stock, par value $0.001 per share (”</w:t>
      </w:r>
      <w:r>
        <w:rPr>
          <w:rFonts w:ascii="Arial" w:cs="Arial" w:eastAsia="Arial" w:hAnsi="Arial"/>
          <w:sz w:val="17"/>
          <w:szCs w:val="17"/>
          <w:b w:val="1"/>
          <w:bCs w:val="1"/>
          <w:i w:val="1"/>
          <w:iCs w:val="1"/>
          <w:color w:val="auto"/>
        </w:rPr>
        <w:t>Common Stock</w:t>
      </w:r>
      <w:r>
        <w:rPr>
          <w:rFonts w:ascii="Arial" w:cs="Arial" w:eastAsia="Arial" w:hAnsi="Arial"/>
          <w:sz w:val="17"/>
          <w:szCs w:val="17"/>
          <w:color w:val="auto"/>
        </w:rPr>
        <w:t>”), consisting of (a) 14,951,890 shares of Common Stock issuable pursuant to the Company’s 2019 Equity Incentive Plan (the “</w:t>
      </w:r>
      <w:r>
        <w:rPr>
          <w:rFonts w:ascii="Arial" w:cs="Arial" w:eastAsia="Arial" w:hAnsi="Arial"/>
          <w:sz w:val="17"/>
          <w:szCs w:val="17"/>
          <w:b w:val="1"/>
          <w:bCs w:val="1"/>
          <w:i w:val="1"/>
          <w:iCs w:val="1"/>
          <w:color w:val="auto"/>
        </w:rPr>
        <w:t>2019 EIP</w:t>
      </w:r>
      <w:r>
        <w:rPr>
          <w:rFonts w:ascii="Arial" w:cs="Arial" w:eastAsia="Arial" w:hAnsi="Arial"/>
          <w:sz w:val="17"/>
          <w:szCs w:val="17"/>
          <w:color w:val="auto"/>
        </w:rPr>
        <w:t>”) and (b) 2,990,378 shares of Common Stock issuable pursuant to the Company’s 2019 Employee Stock Purchase Plan (together with the 2019 EIP, the “</w:t>
      </w:r>
      <w:r>
        <w:rPr>
          <w:rFonts w:ascii="Arial" w:cs="Arial" w:eastAsia="Arial" w:hAnsi="Arial"/>
          <w:sz w:val="17"/>
          <w:szCs w:val="17"/>
          <w:b w:val="1"/>
          <w:bCs w:val="1"/>
          <w:i w:val="1"/>
          <w:iCs w:val="1"/>
          <w:color w:val="auto"/>
        </w:rPr>
        <w:t>Plans</w:t>
      </w:r>
      <w:r>
        <w:rPr>
          <w:rFonts w:ascii="Arial" w:cs="Arial" w:eastAsia="Arial" w:hAnsi="Arial"/>
          <w:sz w:val="17"/>
          <w:szCs w:val="17"/>
          <w:color w:val="auto"/>
        </w:rPr>
        <w:t>”).</w:t>
      </w:r>
    </w:p>
    <w:p>
      <w:pPr>
        <w:spacing w:after="0" w:line="199" w:lineRule="exact"/>
        <w:rPr>
          <w:sz w:val="20"/>
          <w:szCs w:val="20"/>
          <w:color w:val="auto"/>
        </w:rPr>
      </w:pPr>
    </w:p>
    <w:p>
      <w:pPr>
        <w:jc w:val="both"/>
        <w:spacing w:after="0" w:line="246" w:lineRule="auto"/>
        <w:rPr>
          <w:sz w:val="20"/>
          <w:szCs w:val="20"/>
          <w:color w:val="auto"/>
        </w:rPr>
      </w:pPr>
      <w:r>
        <w:rPr>
          <w:rFonts w:ascii="Arial" w:cs="Arial" w:eastAsia="Arial" w:hAnsi="Arial"/>
          <w:sz w:val="16"/>
          <w:szCs w:val="16"/>
          <w:color w:val="auto"/>
        </w:rPr>
        <w:t>In connection with this opinion, we have examined and relied upon (a) the Registration Statement and related Prospectuses, (b) the Company’s Amended and Restated Certificate of Incorporation and Amended and Restated Bylaws, each as currently in effect, (c) the Plans, and (d) such other records, documents, certificates, memoranda, and other instruments as in our judgment are necessary or appropriate to enable us to render the opinion expressed below. We have assumed the genuineness of all signatures, the authenticity of all documents submitted to us as originals, the conformity to originals of all documents submitted to us as copies thereof, the accuracy, completeness and authenticity of certificates of public officials; and the due authorization execution and delivery of all documents by all persons other than the Company where authorization, execution and delivery are prerequisites to the effectiveness thereof. As to certain factual matters, we have relied upon a certificate of an officer of the Company and have not independently verified such matters.</w:t>
      </w:r>
    </w:p>
    <w:p>
      <w:pPr>
        <w:spacing w:after="0" w:line="192"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Our opinion is expressed only with respect to the General Corporation Law of the State of Delaware. We express no opinion to the extent that any other laws are applicable to the subject matter hereof and express no opinion and provide no assurance as to compliance with any federal or state securities law, rule or regulation.</w:t>
      </w:r>
    </w:p>
    <w:p>
      <w:pPr>
        <w:spacing w:after="0" w:line="198" w:lineRule="exact"/>
        <w:rPr>
          <w:sz w:val="20"/>
          <w:szCs w:val="20"/>
          <w:color w:val="auto"/>
        </w:rPr>
      </w:pPr>
    </w:p>
    <w:p>
      <w:pPr>
        <w:jc w:val="both"/>
        <w:spacing w:after="0" w:line="239" w:lineRule="auto"/>
        <w:rPr>
          <w:sz w:val="20"/>
          <w:szCs w:val="20"/>
          <w:color w:val="auto"/>
        </w:rPr>
      </w:pPr>
      <w:r>
        <w:rPr>
          <w:rFonts w:ascii="Arial" w:cs="Arial" w:eastAsia="Arial" w:hAnsi="Arial"/>
          <w:sz w:val="17"/>
          <w:szCs w:val="17"/>
          <w:color w:val="auto"/>
        </w:rPr>
        <w:t>On the basis of the foregoing, and in reliance thereon, we are of the opinion that the Shares, when sold and issued in accordance with the Plans, the Registration Statement and related Prospectuses, will be validly issued, fully paid, and nonassessable (except as to shares issued pursuant to certain deferred payment arrangements, which will be fully paid and nonassessable when such deferred payments are made in full).</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We consent to the filing of this opinion as an exhibit to the Registration Statement.</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color w:val="auto"/>
        </w:rPr>
        <w:t>Sincerely,</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Cooley LLP</w:t>
      </w: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By: </w:t>
      </w:r>
      <w:r>
        <w:rPr>
          <w:rFonts w:ascii="Arial" w:cs="Arial" w:eastAsia="Arial" w:hAnsi="Arial"/>
          <w:sz w:val="17"/>
          <w:szCs w:val="17"/>
          <w:u w:val="single" w:color="auto"/>
          <w:color w:val="auto"/>
        </w:rPr>
        <w:t>/s/ Calise Y. Cheng</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Calise Y. Cheng</w:t>
      </w:r>
    </w:p>
    <w:p>
      <w:pPr>
        <w:sectPr>
          <w:pgSz w:w="11900" w:h="16838" w:orient="portrait"/>
          <w:cols w:equalWidth="0" w:num="1">
            <w:col w:w="11240"/>
          </w:cols>
          <w:pgMar w:left="320" w:top="381" w:right="339" w:bottom="1440" w:gutter="0" w:footer="0" w:header="0"/>
        </w:sectPr>
      </w:pPr>
    </w:p>
    <w:bookmarkStart w:id="8" w:name="page9"/>
    <w:bookmarkEnd w:id="8"/>
    <w:p>
      <w:pPr>
        <w:jc w:val="right"/>
        <w:spacing w:after="0"/>
        <w:rPr>
          <w:sz w:val="20"/>
          <w:szCs w:val="20"/>
          <w:color w:val="auto"/>
        </w:rPr>
      </w:pPr>
      <w:r>
        <w:rPr>
          <w:rFonts w:ascii="Arial" w:cs="Arial" w:eastAsia="Arial" w:hAnsi="Arial"/>
          <w:sz w:val="21"/>
          <w:szCs w:val="21"/>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309"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We consent to the use of our report dated March 7, 2022, with respect to the consolidated balance sheets of Zoom Video Communications, Inc. and subsidiaries as of January 31, 2022 and 2021, the related consolidated statements of operations, comprehensive income, convertible preferred stock and stockholder’s (deficit) equity, and cash flows for each of the years in the three-year period ended January 31, 2022, and the related notes and financial statement schedule II: valuation and qualifying accounts (collectively, the consolidated financial statements) and the effectiveness of internal control over financial reporting, incorporated herein by reference.</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KPMG LLP</w:t>
      </w:r>
    </w:p>
    <w:p>
      <w:pPr>
        <w:spacing w:after="0" w:line="235"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13" w:lineRule="exact"/>
        <w:rPr>
          <w:sz w:val="20"/>
          <w:szCs w:val="20"/>
          <w:color w:val="auto"/>
        </w:rPr>
      </w:pPr>
    </w:p>
    <w:p>
      <w:pPr>
        <w:spacing w:after="0"/>
        <w:rPr>
          <w:sz w:val="20"/>
          <w:szCs w:val="20"/>
          <w:color w:val="auto"/>
        </w:rPr>
      </w:pPr>
      <w:r>
        <w:rPr>
          <w:rFonts w:ascii="Arial" w:cs="Arial" w:eastAsia="Arial" w:hAnsi="Arial"/>
          <w:sz w:val="17"/>
          <w:szCs w:val="17"/>
          <w:color w:val="auto"/>
        </w:rPr>
        <w:t>March 7, 2022</w:t>
      </w:r>
    </w:p>
    <w:sectPr>
      <w:pgSz w:w="11900" w:h="16838" w:orient="portrait"/>
      <w:cols w:equalWidth="0" w:num="1">
        <w:col w:w="11240"/>
      </w:cols>
      <w:pgMar w:left="320" w:top="61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lowerRoman"/>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21" Type="http://schemas.openxmlformats.org/officeDocument/2006/relationships/image" Target="media/image3.png"/><Relationship Id="rId22" Type="http://schemas.openxmlformats.org/officeDocument/2006/relationships/image" Target="media/image4.png"/><Relationship Id="rId23" Type="http://schemas.openxmlformats.org/officeDocument/2006/relationships/image" Target="media/image5.png"/><Relationship Id="rId24" Type="http://schemas.openxmlformats.org/officeDocument/2006/relationships/image" Target="media/image6.png"/><Relationship Id="rId25" Type="http://schemas.openxmlformats.org/officeDocument/2006/relationships/image" Target="media/image7.png"/><Relationship Id="rId26" Type="http://schemas.openxmlformats.org/officeDocument/2006/relationships/image" Target="media/image8.png"/><Relationship Id="rId27" Type="http://schemas.openxmlformats.org/officeDocument/2006/relationships/image" Target="media/image9.png"/><Relationship Id="rId28" Type="http://schemas.openxmlformats.org/officeDocument/2006/relationships/image" Target="media/image10.png"/><Relationship Id="rId29" Type="http://schemas.openxmlformats.org/officeDocument/2006/relationships/image" Target="media/image11.png"/><Relationship Id="rId30" Type="http://schemas.openxmlformats.org/officeDocument/2006/relationships/image" Target="media/image12.png"/><Relationship Id="rId31" Type="http://schemas.openxmlformats.org/officeDocument/2006/relationships/image" Target="media/image13.png"/><Relationship Id="rId32" Type="http://schemas.openxmlformats.org/officeDocument/2006/relationships/image" Target="media/image14.png"/><Relationship Id="rId33" Type="http://schemas.openxmlformats.org/officeDocument/2006/relationships/image" Target="media/image15.png"/><Relationship Id="rId34" Type="http://schemas.openxmlformats.org/officeDocument/2006/relationships/image" Target="media/image16.png"/><Relationship Id="rId35" Type="http://schemas.openxmlformats.org/officeDocument/2006/relationships/image" Target="media/image17.png"/><Relationship Id="rId36" Type="http://schemas.openxmlformats.org/officeDocument/2006/relationships/image" Target="media/image18.png"/><Relationship Id="rId10" Type="http://schemas.openxmlformats.org/officeDocument/2006/relationships/hyperlink" Target="https://www.sec.gov/Archives/edgar/data/1585521/000119312519115105/d724945ds8.htm" TargetMode="External"/><Relationship Id="rId11" Type="http://schemas.openxmlformats.org/officeDocument/2006/relationships/hyperlink" Target="https://www.sec.gov/Archives/edgar/data/1585521/000158552120000096/zm-sx8_2020.htm" TargetMode="External"/><Relationship Id="rId12" Type="http://schemas.openxmlformats.org/officeDocument/2006/relationships/hyperlink" Target="https://www.sec.gov/Archives/edgar/data/1585521/000158552121000050/zm-sx8_2021.htm" TargetMode="External"/><Relationship Id="rId13" Type="http://schemas.openxmlformats.org/officeDocument/2006/relationships/hyperlink" Target="https://www.sec.gov/ix?doc=/Archives/edgar/data/1585521/000158552122000037/zm-20220131.htm" TargetMode="External"/><Relationship Id="rId14" Type="http://schemas.openxmlformats.org/officeDocument/2006/relationships/hyperlink" Target="https://www.sec.gov/Archives/edgar/data/1585521/000119312519099830/d730043d8a12b.htm" TargetMode="External"/><Relationship Id="rId15" Type="http://schemas.openxmlformats.org/officeDocument/2006/relationships/hyperlink" Target="https://www.sec.gov/Archives/edgar/data/1585521/000158552122000037/ex43_securitiesfrompy1.htm" TargetMode="External"/><Relationship Id="rId16" Type="http://schemas.openxmlformats.org/officeDocument/2006/relationships/hyperlink" Target="http://www.sec.gov/Archives/edgar/data/1585521/000119312519115111/d736915dex31.htm" TargetMode="External"/><Relationship Id="rId17" Type="http://schemas.openxmlformats.org/officeDocument/2006/relationships/hyperlink" Target="http://www.sec.gov/Archives/edgar/data/1585521/000119312519099813/d642624dex34.htm" TargetMode="External"/><Relationship Id="rId18" Type="http://schemas.openxmlformats.org/officeDocument/2006/relationships/hyperlink" Target="http://www.sec.gov/Archives/edgar/data/1585521/000119312519099813/d642624dex41.htm" TargetMode="External"/><Relationship Id="rId19" Type="http://schemas.openxmlformats.org/officeDocument/2006/relationships/hyperlink" Target="http://www.sec.gov/Archives/edgar/data/1585521/000119312519099813/d642624dex102.htm" TargetMode="External"/><Relationship Id="rId20" Type="http://schemas.openxmlformats.org/officeDocument/2006/relationships/hyperlink" Target="http://www.sec.gov/Archives/edgar/data/1585521/000119312519099813/d642624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2022-03-08T05:14:30Z</dcterms:created>
  <dcterms:modified xsi:type="dcterms:W3CDTF">2022-03-08T05:14:30Z</dcterms:modified>
</cp:coreProperties>
</file>