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13, 2024</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Video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5"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766445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5.07</w:t>
        <w:tab/>
        <w:t>Submission of Matters to a Vote of Security Holders.</w:t>
      </w:r>
    </w:p>
    <w:p>
      <w:pPr>
        <w:spacing w:after="0" w:line="222"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On June 13, 2024, Zoom Video Communications, Inc. (the “Company”) held its 2024 Annual Meeting of Stockholders (the "Annual Meeting"). At the Annual Meeting, the Company’s stockholders (1) elected each of the Company’s nominees for Class II director, (2) ratified the appointment of KPMG LLP as the Company’s independent registered public accounting firm for the fiscal year ending January 31, 2025, and (3) approved, on an advisory basis, the compensation of the Company's named executive officers. The final results with respect to each proposal are set forth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Proposal One – Election of Directors</w:t>
      </w:r>
    </w:p>
    <w:p>
      <w:pPr>
        <w:spacing w:after="0" w:line="250"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The stockholders elected each of the three persons named below as Class II directors to serve until the 2027 annual meeting of stockholders or until their successors are duly elected and qualified. The results of such vote were:</w:t>
      </w:r>
    </w:p>
    <w:p>
      <w:pPr>
        <w:spacing w:after="0" w:line="217" w:lineRule="exact"/>
        <w:rPr>
          <w:sz w:val="20"/>
          <w:szCs w:val="20"/>
          <w:color w:val="auto"/>
        </w:rPr>
      </w:pPr>
    </w:p>
    <w:tbl>
      <w:tblPr>
        <w:tblLayout w:type="fixed"/>
        <w:tblInd w:w="2000" w:type="dxa"/>
        <w:tblCellMar>
          <w:top w:w="0" w:type="dxa"/>
          <w:left w:w="0" w:type="dxa"/>
          <w:bottom w:w="0" w:type="dxa"/>
          <w:right w:w="0" w:type="dxa"/>
        </w:tblCellMar>
      </w:tblPr>
      <w:tr>
        <w:trPr>
          <w:trHeight w:val="195"/>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gridSpan w:val="3"/>
          </w:tcPr>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FOR</w:t>
            </w:r>
          </w:p>
        </w:tc>
        <w:tc>
          <w:tcPr>
            <w:tcW w:w="460" w:type="dxa"/>
            <w:vAlign w:val="bottom"/>
          </w:tcPr>
          <w:p>
            <w:pPr>
              <w:spacing w:after="0"/>
              <w:rPr>
                <w:sz w:val="17"/>
                <w:szCs w:val="17"/>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WITHHELD</w:t>
            </w:r>
          </w:p>
        </w:tc>
        <w:tc>
          <w:tcPr>
            <w:tcW w:w="8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BROKER NON-VOTE</w:t>
            </w:r>
          </w:p>
        </w:tc>
      </w:tr>
      <w:tr>
        <w:trPr>
          <w:trHeight w:val="20"/>
        </w:trPr>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0"/>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Jonathan Chadwick</w:t>
            </w: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458,150,033</w:t>
            </w:r>
          </w:p>
        </w:tc>
        <w:tc>
          <w:tcPr>
            <w:tcW w:w="120" w:type="dxa"/>
            <w:vAlign w:val="bottom"/>
          </w:tcPr>
          <w:p>
            <w:pPr>
              <w:spacing w:after="0"/>
              <w:rPr>
                <w:sz w:val="24"/>
                <w:szCs w:val="24"/>
                <w:color w:val="auto"/>
              </w:rPr>
            </w:pPr>
          </w:p>
        </w:tc>
        <w:tc>
          <w:tcPr>
            <w:tcW w:w="1420" w:type="dxa"/>
            <w:vAlign w:val="bottom"/>
            <w:tcBorders>
              <w:bottom w:val="single" w:sz="8" w:color="auto"/>
            </w:tcBorders>
            <w:gridSpan w:val="2"/>
          </w:tcPr>
          <w:p>
            <w:pPr>
              <w:jc w:val="center"/>
              <w:ind w:left="374"/>
              <w:spacing w:after="0"/>
              <w:rPr>
                <w:sz w:val="20"/>
                <w:szCs w:val="20"/>
                <w:color w:val="auto"/>
              </w:rPr>
            </w:pPr>
            <w:r>
              <w:rPr>
                <w:rFonts w:ascii="Times New Roman" w:cs="Times New Roman" w:eastAsia="Times New Roman" w:hAnsi="Times New Roman"/>
                <w:sz w:val="17"/>
                <w:szCs w:val="17"/>
                <w:color w:val="auto"/>
                <w:w w:val="99"/>
              </w:rPr>
              <w:t>55,471,122</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57,037,427</w:t>
            </w:r>
          </w:p>
        </w:tc>
        <w:tc>
          <w:tcPr>
            <w:tcW w:w="80" w:type="dxa"/>
            <w:vAlign w:val="bottom"/>
            <w:tcBorders>
              <w:bottom w:val="single" w:sz="8" w:color="auto"/>
            </w:tcBorders>
          </w:tcPr>
          <w:p>
            <w:pPr>
              <w:spacing w:after="0"/>
              <w:rPr>
                <w:sz w:val="24"/>
                <w:szCs w:val="24"/>
                <w:color w:val="auto"/>
              </w:rPr>
            </w:pPr>
          </w:p>
        </w:tc>
      </w:tr>
      <w:tr>
        <w:trPr>
          <w:trHeight w:val="238"/>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Cindy Hoots</w:t>
            </w: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369,053,047</w:t>
            </w:r>
          </w:p>
        </w:tc>
        <w:tc>
          <w:tcPr>
            <w:tcW w:w="120" w:type="dxa"/>
            <w:vAlign w:val="bottom"/>
          </w:tcPr>
          <w:p>
            <w:pPr>
              <w:spacing w:after="0"/>
              <w:rPr>
                <w:sz w:val="20"/>
                <w:szCs w:val="20"/>
                <w:color w:val="auto"/>
              </w:rPr>
            </w:pPr>
          </w:p>
        </w:tc>
        <w:tc>
          <w:tcPr>
            <w:tcW w:w="1420" w:type="dxa"/>
            <w:vAlign w:val="bottom"/>
            <w:tcBorders>
              <w:bottom w:val="single" w:sz="8" w:color="auto"/>
            </w:tcBorders>
            <w:gridSpan w:val="2"/>
          </w:tcPr>
          <w:p>
            <w:pPr>
              <w:jc w:val="center"/>
              <w:ind w:left="394"/>
              <w:spacing w:after="0"/>
              <w:rPr>
                <w:sz w:val="20"/>
                <w:szCs w:val="20"/>
                <w:color w:val="auto"/>
              </w:rPr>
            </w:pPr>
            <w:r>
              <w:rPr>
                <w:rFonts w:ascii="Times New Roman" w:cs="Times New Roman" w:eastAsia="Times New Roman" w:hAnsi="Times New Roman"/>
                <w:sz w:val="17"/>
                <w:szCs w:val="17"/>
                <w:color w:val="auto"/>
              </w:rPr>
              <w:t>144,568,108</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57,037,427</w:t>
            </w:r>
          </w:p>
        </w:tc>
        <w:tc>
          <w:tcPr>
            <w:tcW w:w="80" w:type="dxa"/>
            <w:vAlign w:val="bottom"/>
            <w:tcBorders>
              <w:bottom w:val="single" w:sz="8" w:color="auto"/>
            </w:tcBorders>
          </w:tcPr>
          <w:p>
            <w:pPr>
              <w:spacing w:after="0"/>
              <w:rPr>
                <w:sz w:val="20"/>
                <w:szCs w:val="20"/>
                <w:color w:val="auto"/>
              </w:rPr>
            </w:pPr>
          </w:p>
        </w:tc>
      </w:tr>
      <w:tr>
        <w:trPr>
          <w:trHeight w:val="238"/>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Dan Scheinman</w:t>
            </w: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437,624,893</w:t>
            </w:r>
          </w:p>
        </w:tc>
        <w:tc>
          <w:tcPr>
            <w:tcW w:w="120" w:type="dxa"/>
            <w:vAlign w:val="bottom"/>
          </w:tcPr>
          <w:p>
            <w:pPr>
              <w:spacing w:after="0"/>
              <w:rPr>
                <w:sz w:val="20"/>
                <w:szCs w:val="20"/>
                <w:color w:val="auto"/>
              </w:rPr>
            </w:pPr>
          </w:p>
        </w:tc>
        <w:tc>
          <w:tcPr>
            <w:tcW w:w="1420" w:type="dxa"/>
            <w:vAlign w:val="bottom"/>
            <w:tcBorders>
              <w:bottom w:val="single" w:sz="8" w:color="auto"/>
            </w:tcBorders>
            <w:gridSpan w:val="2"/>
          </w:tcPr>
          <w:p>
            <w:pPr>
              <w:jc w:val="center"/>
              <w:ind w:left="374"/>
              <w:spacing w:after="0"/>
              <w:rPr>
                <w:sz w:val="20"/>
                <w:szCs w:val="20"/>
                <w:color w:val="auto"/>
              </w:rPr>
            </w:pPr>
            <w:r>
              <w:rPr>
                <w:rFonts w:ascii="Times New Roman" w:cs="Times New Roman" w:eastAsia="Times New Roman" w:hAnsi="Times New Roman"/>
                <w:sz w:val="17"/>
                <w:szCs w:val="17"/>
                <w:color w:val="auto"/>
                <w:w w:val="99"/>
              </w:rPr>
              <w:t>75,996,262</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57,037,427</w:t>
            </w:r>
          </w:p>
        </w:tc>
        <w:tc>
          <w:tcPr>
            <w:tcW w:w="80" w:type="dxa"/>
            <w:vAlign w:val="bottom"/>
            <w:tcBorders>
              <w:bottom w:val="single" w:sz="8" w:color="auto"/>
            </w:tcBorders>
          </w:tcPr>
          <w:p>
            <w:pPr>
              <w:spacing w:after="0"/>
              <w:rPr>
                <w:sz w:val="20"/>
                <w:szCs w:val="20"/>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Proposal Two – Ratification of Selection of Independent Public Registered Accounting Firm</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stockholders ratified the appointment of KPMG LLP as the Company's independent registered public accounting firm for the fiscal year ending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31, 2025. The results of such vote were:</w:t>
      </w:r>
    </w:p>
    <w:p>
      <w:pPr>
        <w:spacing w:after="0" w:line="255" w:lineRule="exact"/>
        <w:rPr>
          <w:sz w:val="20"/>
          <w:szCs w:val="20"/>
          <w:color w:val="auto"/>
        </w:rPr>
      </w:pPr>
    </w:p>
    <w:tbl>
      <w:tblPr>
        <w:tblLayout w:type="fixed"/>
        <w:tblInd w:w="2880" w:type="dxa"/>
        <w:tblCellMar>
          <w:top w:w="0" w:type="dxa"/>
          <w:left w:w="0" w:type="dxa"/>
          <w:bottom w:w="0" w:type="dxa"/>
          <w:right w:w="0" w:type="dxa"/>
        </w:tblCellMar>
      </w:tblPr>
      <w:tr>
        <w:trPr>
          <w:trHeight w:val="195"/>
        </w:trPr>
        <w:tc>
          <w:tcPr>
            <w:tcW w:w="24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c>
          <w:tcPr>
            <w:tcW w:w="1780" w:type="dxa"/>
            <w:vAlign w:val="bottom"/>
          </w:tcPr>
          <w:p>
            <w:pPr>
              <w:spacing w:after="0"/>
              <w:rPr>
                <w:sz w:val="17"/>
                <w:szCs w:val="17"/>
                <w:color w:val="auto"/>
              </w:rPr>
            </w:pPr>
          </w:p>
        </w:tc>
        <w:tc>
          <w:tcPr>
            <w:tcW w:w="168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AGAINST</w:t>
            </w:r>
          </w:p>
        </w:tc>
        <w:tc>
          <w:tcPr>
            <w:tcW w:w="1660" w:type="dxa"/>
            <w:vAlign w:val="bottom"/>
            <w:gridSpan w:val="2"/>
          </w:tcPr>
          <w:p>
            <w:pPr>
              <w:jc w:val="center"/>
              <w:ind w:left="834"/>
              <w:spacing w:after="0"/>
              <w:rPr>
                <w:sz w:val="20"/>
                <w:szCs w:val="20"/>
                <w:color w:val="auto"/>
              </w:rPr>
            </w:pPr>
            <w:r>
              <w:rPr>
                <w:rFonts w:ascii="Times New Roman" w:cs="Times New Roman" w:eastAsia="Times New Roman" w:hAnsi="Times New Roman"/>
                <w:sz w:val="17"/>
                <w:szCs w:val="17"/>
                <w:b w:val="1"/>
                <w:bCs w:val="1"/>
                <w:color w:val="auto"/>
                <w:w w:val="97"/>
              </w:rPr>
              <w:t>ABSTAIN</w:t>
            </w:r>
          </w:p>
        </w:tc>
      </w:tr>
      <w:tr>
        <w:trPr>
          <w:trHeight w:val="20"/>
        </w:trPr>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39"/>
        </w:trPr>
        <w:tc>
          <w:tcPr>
            <w:tcW w:w="2400" w:type="dxa"/>
            <w:vAlign w:val="bottom"/>
            <w:gridSpan w:val="3"/>
          </w:tcPr>
          <w:p>
            <w:pPr>
              <w:jc w:val="right"/>
              <w:ind w:right="1540"/>
              <w:spacing w:after="0"/>
              <w:rPr>
                <w:sz w:val="20"/>
                <w:szCs w:val="20"/>
                <w:color w:val="auto"/>
              </w:rPr>
            </w:pPr>
            <w:r>
              <w:rPr>
                <w:rFonts w:ascii="Times New Roman" w:cs="Times New Roman" w:eastAsia="Times New Roman" w:hAnsi="Times New Roman"/>
                <w:sz w:val="17"/>
                <w:szCs w:val="17"/>
                <w:color w:val="auto"/>
                <w:w w:val="98"/>
              </w:rPr>
              <w:t>567,740,043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2,005,751</w:t>
            </w:r>
          </w:p>
        </w:tc>
        <w:tc>
          <w:tcPr>
            <w:tcW w:w="90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912,788</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Proposal Three – Advisory Vote on Executive Compensation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stockholders advised that they were in favor of the compensation of the Company's named executive officers. The results of such vote were:</w:t>
      </w:r>
    </w:p>
    <w:p>
      <w:pPr>
        <w:spacing w:after="0" w:line="284" w:lineRule="exact"/>
        <w:rPr>
          <w:sz w:val="20"/>
          <w:szCs w:val="20"/>
          <w:color w:val="auto"/>
        </w:rPr>
      </w:pPr>
    </w:p>
    <w:tbl>
      <w:tblPr>
        <w:tblLayout w:type="fixed"/>
        <w:tblInd w:w="2560" w:type="dxa"/>
        <w:tblCellMar>
          <w:top w:w="0" w:type="dxa"/>
          <w:left w:w="0" w:type="dxa"/>
          <w:bottom w:w="0" w:type="dxa"/>
          <w:right w:w="0" w:type="dxa"/>
        </w:tblCellMar>
      </w:tblPr>
      <w:tr>
        <w:trPr>
          <w:trHeight w:val="195"/>
        </w:trPr>
        <w:tc>
          <w:tcPr>
            <w:tcW w:w="240" w:type="dxa"/>
            <w:vAlign w:val="bottom"/>
          </w:tcPr>
          <w:p>
            <w:pPr>
              <w:spacing w:after="0"/>
              <w:rPr>
                <w:sz w:val="16"/>
                <w:szCs w:val="16"/>
                <w:color w:val="auto"/>
              </w:rPr>
            </w:pPr>
          </w:p>
        </w:tc>
        <w:tc>
          <w:tcPr>
            <w:tcW w:w="1140" w:type="dxa"/>
            <w:vAlign w:val="bottom"/>
            <w:gridSpan w:val="2"/>
          </w:tcPr>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FOR</w:t>
            </w:r>
          </w:p>
        </w:tc>
        <w:tc>
          <w:tcPr>
            <w:tcW w:w="1860" w:type="dxa"/>
            <w:vAlign w:val="bottom"/>
            <w:gridSpan w:val="3"/>
          </w:tcPr>
          <w:p>
            <w:pPr>
              <w:ind w:left="520"/>
              <w:spacing w:after="0"/>
              <w:rPr>
                <w:sz w:val="20"/>
                <w:szCs w:val="20"/>
                <w:color w:val="auto"/>
              </w:rPr>
            </w:pPr>
            <w:r>
              <w:rPr>
                <w:rFonts w:ascii="Times New Roman" w:cs="Times New Roman" w:eastAsia="Times New Roman" w:hAnsi="Times New Roman"/>
                <w:sz w:val="17"/>
                <w:szCs w:val="17"/>
                <w:b w:val="1"/>
                <w:bCs w:val="1"/>
                <w:color w:val="auto"/>
              </w:rPr>
              <w:t>AGAINST</w:t>
            </w:r>
          </w:p>
        </w:tc>
        <w:tc>
          <w:tcPr>
            <w:tcW w:w="210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ABSTAIN</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BROKER NON-VOTE</w:t>
            </w:r>
          </w:p>
        </w:tc>
      </w:tr>
      <w:tr>
        <w:trPr>
          <w:trHeight w:val="20"/>
        </w:trPr>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252"/>
        </w:trPr>
        <w:tc>
          <w:tcPr>
            <w:tcW w:w="138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w w:val="98"/>
              </w:rPr>
              <w:t>419,708,225</w:t>
            </w: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w w:val="99"/>
              </w:rPr>
              <w:t>93,468,494</w:t>
            </w:r>
          </w:p>
        </w:tc>
        <w:tc>
          <w:tcPr>
            <w:tcW w:w="5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444,436</w:t>
            </w:r>
          </w:p>
        </w:tc>
        <w:tc>
          <w:tcPr>
            <w:tcW w:w="780" w:type="dxa"/>
            <w:vAlign w:val="bottom"/>
          </w:tcPr>
          <w:p>
            <w:pPr>
              <w:spacing w:after="0"/>
              <w:rPr>
                <w:sz w:val="21"/>
                <w:szCs w:val="21"/>
                <w:color w:val="auto"/>
              </w:rPr>
            </w:pPr>
          </w:p>
        </w:tc>
        <w:tc>
          <w:tcPr>
            <w:tcW w:w="172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57,037,427</w:t>
            </w:r>
          </w:p>
        </w:tc>
      </w:tr>
    </w:tbl>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6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8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274" w:lineRule="exact"/>
        <w:rPr>
          <w:sz w:val="20"/>
          <w:szCs w:val="20"/>
          <w:color w:val="auto"/>
        </w:rPr>
      </w:pPr>
    </w:p>
    <w:p>
      <w:pPr>
        <w:ind w:left="640"/>
        <w:spacing w:after="0"/>
        <w:tabs>
          <w:tab w:leader="none" w:pos="5860" w:val="left"/>
          <w:tab w:leader="none" w:pos="6580" w:val="left"/>
        </w:tabs>
        <w:rPr>
          <w:sz w:val="20"/>
          <w:szCs w:val="20"/>
          <w:color w:val="auto"/>
        </w:rPr>
      </w:pPr>
      <w:r>
        <w:rPr>
          <w:rFonts w:ascii="Times New Roman" w:cs="Times New Roman" w:eastAsia="Times New Roman" w:hAnsi="Times New Roman"/>
          <w:sz w:val="17"/>
          <w:szCs w:val="17"/>
          <w:color w:val="auto"/>
        </w:rPr>
        <w:t>Dated: June 18,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3022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2600" cy="8255"/>
                    </a:xfrm>
                    <a:prstGeom prst="rect">
                      <a:avLst/>
                    </a:prstGeom>
                    <a:noFill/>
                  </pic:spPr>
                </pic:pic>
              </a:graphicData>
            </a:graphic>
          </wp:anchor>
        </w:drawing>
      </w:r>
    </w:p>
    <w:p>
      <w:pPr>
        <w:spacing w:after="0" w:line="1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auto"/>
        </w:rPr>
        <w:t>Aparna Bawa</w:t>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i w:val="1"/>
          <w:iCs w:val="1"/>
          <w:color w:val="auto"/>
        </w:rPr>
        <w:t>Chief Operating Officer</w:t>
      </w:r>
    </w:p>
    <w:sectPr>
      <w:pgSz w:w="11900" w:h="16838" w:orient="portrait"/>
      <w:cols w:equalWidth="0" w:num="1">
        <w:col w:w="11220"/>
      </w:cols>
      <w:pgMar w:left="320" w:top="10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2024-06-18T16:08:26Z</dcterms:created>
  <dcterms:modified xsi:type="dcterms:W3CDTF">2024-06-18T16:08:26Z</dcterms:modified>
</cp:coreProperties>
</file>