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295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29526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Bawa Aparna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3740" w:type="dxa"/>
            <w:vAlign w:val="bottom"/>
            <w:gridSpan w:val="8"/>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SAN JOSE</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3800" w:type="dxa"/>
            <w:vAlign w:val="bottom"/>
            <w:tcBorders>
              <w:bottom w:val="single" w:sz="8" w:color="2C2C2C"/>
            </w:tcBorders>
            <w:gridSpan w:val="7"/>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6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2920" w:type="dxa"/>
            <w:vAlign w:val="bottom"/>
            <w:tcBorders>
              <w:bottom w:val="single" w:sz="8" w:color="2C2C2C"/>
            </w:tcBorders>
            <w:gridSpan w:val="6"/>
          </w:tcPr>
          <w:p>
            <w:pPr>
              <w:spacing w:after="0"/>
              <w:rPr>
                <w:sz w:val="6"/>
                <w:szCs w:val="6"/>
                <w:color w:val="auto"/>
              </w:rPr>
            </w:pPr>
          </w:p>
        </w:tc>
        <w:tc>
          <w:tcPr>
            <w:tcW w:w="258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30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11,320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02/25/2025</w:t>
            </w:r>
          </w:p>
        </w:tc>
        <w:tc>
          <w:tcPr>
            <w:tcW w:w="1240" w:type="dxa"/>
            <w:vAlign w:val="bottom"/>
          </w:tcPr>
          <w:p>
            <w:pPr>
              <w:spacing w:after="0"/>
              <w:rPr>
                <w:sz w:val="5"/>
                <w:szCs w:val="5"/>
                <w:color w:val="auto"/>
              </w:rPr>
            </w:pPr>
          </w:p>
        </w:tc>
        <w:tc>
          <w:tcPr>
            <w:tcW w:w="620" w:type="dxa"/>
            <w:vAlign w:val="bottom"/>
            <w:vMerge w:val="restart"/>
          </w:tcPr>
          <w:p>
            <w:pPr>
              <w:ind w:left="18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54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11,320</w:t>
            </w: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11,320</w:t>
            </w: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56,574</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56,574</w:t>
            </w: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71,778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80" w:type="dxa"/>
            <w:vAlign w:val="bottom"/>
            <w:vMerge w:val="restart"/>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240"/>
              <w:spacing w:after="0" w:line="141" w:lineRule="exact"/>
              <w:rPr>
                <w:sz w:val="20"/>
                <w:szCs w:val="20"/>
                <w:color w:val="auto"/>
              </w:rPr>
            </w:pPr>
            <w:r>
              <w:rPr>
                <w:rFonts w:ascii="Times New Roman" w:cs="Times New Roman" w:eastAsia="Times New Roman" w:hAnsi="Times New Roman"/>
                <w:sz w:val="13"/>
                <w:szCs w:val="13"/>
                <w:color w:val="0000FF"/>
              </w:rPr>
              <w:t>71,778</w:t>
            </w:r>
          </w:p>
        </w:tc>
        <w:tc>
          <w:tcPr>
            <w:tcW w:w="640" w:type="dxa"/>
            <w:vAlign w:val="bottom"/>
            <w:vMerge w:val="restart"/>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-2683510</wp:posOffset>
            </wp:positionV>
            <wp:extent cx="28575" cy="268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8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67" w:lineRule="auto"/>
        <w:tabs>
          <w:tab w:leader="none" w:pos="16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25, 2025. The performance-vesting RSU is also subject to a service-based vesting requirement and will vest on April 9, 2025, subject to the Reporting Persons Continuous Service (as defined in the Issuers 2019 Equity Incentive Plan) on the vesting date.</w:t>
      </w:r>
    </w:p>
    <w:p>
      <w:pPr>
        <w:spacing w:after="0" w:line="11" w:lineRule="exact"/>
        <w:rPr>
          <w:rFonts w:ascii="Times New Roman" w:cs="Times New Roman" w:eastAsia="Times New Roman" w:hAnsi="Times New Roman"/>
          <w:sz w:val="12"/>
          <w:szCs w:val="12"/>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Aparna Bawa</w:t>
            </w:r>
          </w:p>
        </w:tc>
        <w:tc>
          <w:tcPr>
            <w:tcW w:w="11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02/27/2025</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2025-02-27T19:08:21Z</dcterms:created>
  <dcterms:modified xsi:type="dcterms:W3CDTF">2025-02-27T19:08:21Z</dcterms:modified>
</cp:coreProperties>
</file>