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25, 2024</w:t>
      </w:r>
    </w:p>
    <w:p>
      <w:pPr>
        <w:spacing w:after="0" w:line="2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Zoom Communications, Inc.</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p>
      <w:pPr>
        <w:spacing w:after="0" w:line="26" w:lineRule="exact"/>
        <w:rPr>
          <w:sz w:val="24"/>
          <w:szCs w:val="24"/>
          <w:color w:val="auto"/>
        </w:rPr>
      </w:pPr>
    </w:p>
    <w:tbl>
      <w:tblPr>
        <w:tblLayout w:type="fixed"/>
        <w:tblInd w:w="1220" w:type="dxa"/>
        <w:tblCellMar>
          <w:top w:w="0" w:type="dxa"/>
          <w:left w:w="0" w:type="dxa"/>
          <w:bottom w:w="0" w:type="dxa"/>
          <w:right w:w="0" w:type="dxa"/>
        </w:tblCellMar>
      </w:tblPr>
      <w:tr>
        <w:trPr>
          <w:trHeight w:val="203"/>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5"/>
              </w:rPr>
              <w:t>001-38865</w:t>
            </w:r>
          </w:p>
        </w:tc>
        <w:tc>
          <w:tcPr>
            <w:tcW w:w="1740" w:type="dxa"/>
            <w:vAlign w:val="bottom"/>
          </w:tcPr>
          <w:p>
            <w:pPr>
              <w:jc w:val="center"/>
              <w:ind w:left="776"/>
              <w:spacing w:after="0"/>
              <w:rPr>
                <w:sz w:val="20"/>
                <w:szCs w:val="20"/>
                <w:color w:val="auto"/>
              </w:rPr>
            </w:pPr>
            <w:r>
              <w:rPr>
                <w:rFonts w:ascii="Times New Roman" w:cs="Times New Roman" w:eastAsia="Times New Roman" w:hAnsi="Times New Roman"/>
                <w:sz w:val="16"/>
                <w:szCs w:val="16"/>
                <w:b w:val="1"/>
                <w:bCs w:val="1"/>
                <w:color w:val="auto"/>
                <w:w w:val="95"/>
              </w:rPr>
              <w:t>61-1648780</w:t>
            </w:r>
          </w:p>
        </w:tc>
        <w:tc>
          <w:tcPr>
            <w:tcW w:w="0" w:type="dxa"/>
            <w:vAlign w:val="bottom"/>
          </w:tcPr>
          <w:p>
            <w:pPr>
              <w:spacing w:after="0"/>
              <w:rPr>
                <w:sz w:val="1"/>
                <w:szCs w:val="1"/>
                <w:color w:val="auto"/>
              </w:rPr>
            </w:pPr>
          </w:p>
        </w:tc>
      </w:tr>
      <w:tr>
        <w:trPr>
          <w:trHeight w:val="117"/>
        </w:trPr>
        <w:tc>
          <w:tcPr>
            <w:tcW w:w="2080" w:type="dxa"/>
            <w:vAlign w:val="bottom"/>
          </w:tcPr>
          <w:p>
            <w:pPr>
              <w:jc w:val="center"/>
              <w:ind w:right="676"/>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4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(Commission File Number)</w:t>
            </w:r>
          </w:p>
        </w:tc>
        <w:tc>
          <w:tcPr>
            <w:tcW w:w="1740" w:type="dxa"/>
            <w:vAlign w:val="bottom"/>
          </w:tcPr>
          <w:p>
            <w:pPr>
              <w:jc w:val="center"/>
              <w:ind w:left="776"/>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4800" w:type="dxa"/>
            <w:vAlign w:val="bottom"/>
            <w:vMerge w:val="continue"/>
          </w:tcPr>
          <w:p>
            <w:pPr>
              <w:spacing w:after="0"/>
              <w:rPr>
                <w:sz w:val="12"/>
                <w:szCs w:val="12"/>
                <w:color w:val="auto"/>
              </w:rPr>
            </w:pPr>
          </w:p>
        </w:tc>
        <w:tc>
          <w:tcPr>
            <w:tcW w:w="1740" w:type="dxa"/>
            <w:vAlign w:val="bottom"/>
          </w:tcPr>
          <w:p>
            <w:pPr>
              <w:jc w:val="center"/>
              <w:ind w:left="776"/>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85"/>
        </w:trPr>
        <w:tc>
          <w:tcPr>
            <w:tcW w:w="208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6"/>
              </w:rPr>
              <w:t>55 Almaden Boulevard, 6th Floor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7"/>
              </w:rPr>
              <w:t>San Jose, California 95113</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and Zip Code)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80" w:type="dxa"/>
            <w:vAlign w:val="bottom"/>
          </w:tcPr>
          <w:p>
            <w:pPr>
              <w:spacing w:after="0"/>
              <w:rPr>
                <w:sz w:val="22"/>
                <w:szCs w:val="22"/>
                <w:color w:val="auto"/>
              </w:rPr>
            </w:pPr>
          </w:p>
        </w:tc>
        <w:tc>
          <w:tcPr>
            <w:tcW w:w="4800" w:type="dxa"/>
            <w:vAlign w:val="bottom"/>
          </w:tcPr>
          <w:p>
            <w:pPr>
              <w:jc w:val="right"/>
              <w:ind w:right="1910"/>
              <w:spacing w:after="0"/>
              <w:rPr>
                <w:sz w:val="20"/>
                <w:szCs w:val="20"/>
                <w:color w:val="auto"/>
              </w:rPr>
            </w:pPr>
            <w:r>
              <w:rPr>
                <w:rFonts w:ascii="Times New Roman" w:cs="Times New Roman" w:eastAsia="Times New Roman" w:hAnsi="Times New Roman"/>
                <w:sz w:val="16"/>
                <w:szCs w:val="16"/>
                <w:b w:val="1"/>
                <w:bCs w:val="1"/>
                <w:color w:val="auto"/>
              </w:rPr>
              <w:t>(888) 799-9666</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80" w:type="dxa"/>
            <w:vAlign w:val="bottom"/>
          </w:tcPr>
          <w:p>
            <w:pPr>
              <w:spacing w:after="0"/>
              <w:rPr>
                <w:sz w:val="22"/>
                <w:szCs w:val="22"/>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7"/>
              </w:rPr>
              <w:t>Zoom Video Communications, Inc.</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4800" w:type="dxa"/>
            <w:vAlign w:val="bottom"/>
          </w:tcPr>
          <w:p>
            <w:pPr>
              <w:jc w:val="right"/>
              <w:ind w:right="1330"/>
              <w:spacing w:after="0"/>
              <w:rPr>
                <w:sz w:val="20"/>
                <w:szCs w:val="20"/>
                <w:color w:val="auto"/>
              </w:rPr>
            </w:pPr>
            <w:r>
              <w:rPr>
                <w:rFonts w:ascii="Times New Roman" w:cs="Times New Roman" w:eastAsia="Times New Roman" w:hAnsi="Times New Roman"/>
                <w:sz w:val="17"/>
                <w:szCs w:val="17"/>
                <w:b w:val="1"/>
                <w:bCs w:val="1"/>
                <w:color w:val="auto"/>
              </w:rPr>
              <w:t>_________________________</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6"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5"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60"/>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Class A Common Stock, $0.001 par value per share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ZM</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The Nasdaq Global Select Market</w:t>
            </w:r>
          </w:p>
        </w:tc>
      </w:tr>
    </w:tbl>
    <w:p>
      <w:pPr>
        <w:spacing w:after="0" w:line="144"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627380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25, 2024, Zoom Communications, Inc. (the “Company”) issued a press release announcing its financial results for the three months ended October 31, 2024. A copy of the press release is furnished as Exhibit 99.1 to this report and is incorporated by reference.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contained in this report, including Exhibit 99.1 attached hereto, is furnished and shall not be deemed “filed” for purposes of Section 18 of the Securities Exchange Act of</w:t>
      </w:r>
    </w:p>
    <w:p>
      <w:pPr>
        <w:spacing w:after="0" w:line="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5.03</w:t>
        <w:tab/>
        <w:t>Amendments to Articles of Incorporation or Bylaws; Changes in Fiscal Year.</w:t>
      </w:r>
    </w:p>
    <w:p>
      <w:pPr>
        <w:spacing w:after="0" w:line="1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On November 25, 2024, the Company filed with the Secretary of State of the State of Delaware a Certificate of Amendment to the Certificate of Incorporation (the “Certificate of Amendment”) to change its corporate name to Zoom Communications, Inc., effective November 25, 2024 (the “Name Change”). Pursuant to Delaware law, a stockholder vote was not necessary to effectuate the Name Change. A copy of the Certificate of Amendment is attached as Exhibit 3.1 hereto and incorporated by reference.</w:t>
      </w:r>
    </w:p>
    <w:p>
      <w:pPr>
        <w:spacing w:after="0" w:line="1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connection with the Name Change, the Company’s board of directors also amended the Company’s bylaws to reflect the Name Change, effective as of November 25, 2024 (the “Amended and Restated Bylaws”). No other changes were made to the bylaws. A copy of the Amended and Restated Bylaws reflecting this amendment is attached as Exhibit 3.2 hereto and incorporated by reference.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Class A common stock will continue to trade on the Nasdaq Stock Market LLC under the ticker symbol “ZM”.</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380" w:type="dxa"/>
            <w:vAlign w:val="bottom"/>
          </w:tcPr>
          <w:p>
            <w:pPr>
              <w:spacing w:after="0"/>
              <w:rPr>
                <w:sz w:val="17"/>
                <w:szCs w:val="17"/>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7"/>
                <w:szCs w:val="17"/>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39"/>
        </w:trPr>
        <w:tc>
          <w:tcPr>
            <w:tcW w:w="3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40" w:type="dxa"/>
            <w:vAlign w:val="bottom"/>
            <w:tcBorders>
              <w:top w:val="single" w:sz="8" w:color="auto"/>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Certificate of Amendment to Certificate of Incorporation of Zoom Communications, Inc.</w:t>
            </w:r>
          </w:p>
        </w:tc>
        <w:tc>
          <w:tcPr>
            <w:tcW w:w="4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70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Amended and Restated Bylaws of Zoom Communications, Inc.</w:t>
            </w:r>
          </w:p>
        </w:tc>
      </w:tr>
      <w:tr>
        <w:trPr>
          <w:trHeight w:val="20"/>
        </w:trPr>
        <w:tc>
          <w:tcPr>
            <w:tcW w:w="1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r>
      <w:tr>
        <w:trPr>
          <w:trHeight w:val="160"/>
        </w:trPr>
        <w:tc>
          <w:tcPr>
            <w:tcW w:w="17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w w:val="97"/>
              </w:rPr>
              <w:t>99.1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Press release dated November 25, 2024 of Zoom Communications, Inc.</w:t>
            </w:r>
          </w:p>
        </w:tc>
      </w:tr>
      <w:tr>
        <w:trPr>
          <w:trHeight w:val="20"/>
        </w:trPr>
        <w:tc>
          <w:tcPr>
            <w:tcW w:w="1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r>
      <w:tr>
        <w:trPr>
          <w:trHeight w:val="192"/>
        </w:trPr>
        <w:tc>
          <w:tcPr>
            <w:tcW w:w="170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rPr>
              <w:t>104</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57"/>
        </w:trPr>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 w:name="page3"/>
    <w:bookmarkEnd w:id="2"/>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742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Zoom Communications, Inc.</w:t>
            </w:r>
          </w:p>
        </w:tc>
      </w:tr>
      <w:tr>
        <w:trPr>
          <w:trHeight w:val="38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Dated: November 25, 2024</w:t>
            </w:r>
          </w:p>
        </w:tc>
        <w:tc>
          <w:tcPr>
            <w:tcW w:w="25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Michelle Chang</w:t>
            </w:r>
          </w:p>
        </w:tc>
      </w:tr>
      <w:tr>
        <w:trPr>
          <w:trHeight w:val="165"/>
        </w:trPr>
        <w:tc>
          <w:tcPr>
            <w:tcW w:w="3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Michelle Chang</w:t>
            </w:r>
          </w:p>
        </w:tc>
      </w:tr>
      <w:tr>
        <w:trPr>
          <w:trHeight w:val="186"/>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ectPr>
          <w:pgSz w:w="11900" w:h="16838" w:orient="portrait"/>
          <w:cols w:equalWidth="0" w:num="1">
            <w:col w:w="10840"/>
          </w:cols>
          <w:pgMar w:left="820" w:top="728" w:right="239"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6"/>
          <w:szCs w:val="16"/>
          <w:b w:val="1"/>
          <w:bCs w:val="1"/>
          <w:color w:val="auto"/>
        </w:rPr>
        <w:t>CERTIFICATE OF AMENDMENT</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CERTIFICATE OF INCORPORATION</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ZOOM VIDEO COMMUNICATIONS, INC.</w:t>
      </w:r>
    </w:p>
    <w:p>
      <w:pPr>
        <w:spacing w:after="0" w:line="32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Zoom Video Communications, Inc., a corporation organized and existing under and by virtue of the provisions of the General Corporation Law of the State of Delaware (the “</w:t>
      </w:r>
      <w:r>
        <w:rPr>
          <w:rFonts w:ascii="Times New Roman" w:cs="Times New Roman" w:eastAsia="Times New Roman" w:hAnsi="Times New Roman"/>
          <w:sz w:val="16"/>
          <w:szCs w:val="16"/>
          <w:b w:val="1"/>
          <w:bCs w:val="1"/>
          <w:i w:val="1"/>
          <w:iCs w:val="1"/>
          <w:color w:val="auto"/>
        </w:rPr>
        <w:t>General Corporation Law</w:t>
      </w:r>
      <w:r>
        <w:rPr>
          <w:rFonts w:ascii="Times New Roman" w:cs="Times New Roman" w:eastAsia="Times New Roman" w:hAnsi="Times New Roman"/>
          <w:sz w:val="16"/>
          <w:szCs w:val="16"/>
          <w:color w:val="auto"/>
        </w:rPr>
        <w:t>”), does hereby certify:</w:t>
      </w:r>
    </w:p>
    <w:p>
      <w:pPr>
        <w:spacing w:after="0" w:line="12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First: </w:t>
      </w:r>
      <w:r>
        <w:rPr>
          <w:rFonts w:ascii="Times New Roman" w:cs="Times New Roman" w:eastAsia="Times New Roman" w:hAnsi="Times New Roman"/>
          <w:sz w:val="16"/>
          <w:szCs w:val="16"/>
          <w:color w:val="auto"/>
        </w:rPr>
        <w:t>That the name of this corporation is Zoom Video Communications, Inc. (the “</w:t>
      </w:r>
      <w:r>
        <w:rPr>
          <w:rFonts w:ascii="Times New Roman" w:cs="Times New Roman" w:eastAsia="Times New Roman" w:hAnsi="Times New Roman"/>
          <w:sz w:val="16"/>
          <w:szCs w:val="16"/>
          <w:b w:val="1"/>
          <w:bCs w:val="1"/>
          <w:i w:val="1"/>
          <w:iCs w:val="1"/>
          <w:color w:val="auto"/>
        </w:rPr>
        <w:t>Corporation</w:t>
      </w:r>
      <w:r>
        <w:rPr>
          <w:rFonts w:ascii="Times New Roman" w:cs="Times New Roman" w:eastAsia="Times New Roman" w:hAnsi="Times New Roman"/>
          <w:sz w:val="16"/>
          <w:szCs w:val="16"/>
          <w:color w:val="auto"/>
        </w:rPr>
        <w:t>”). The Corporation’s original Certificate of Incorporation was filed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Delaware Secretary of State on April 21, 2011 under the name Saasbee, Inc.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Second: </w:t>
      </w:r>
      <w:r>
        <w:rPr>
          <w:rFonts w:ascii="Times New Roman" w:cs="Times New Roman" w:eastAsia="Times New Roman" w:hAnsi="Times New Roman"/>
          <w:sz w:val="16"/>
          <w:szCs w:val="16"/>
          <w:color w:val="auto"/>
        </w:rPr>
        <w:t>The Board of Directors of the Corporation, acting in accordance with Sections 141 and 242 of the General Corporation Law, adopted resolutions amending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Corporation’s Amended and Restated Certificate of Incorporation (the “</w:t>
      </w:r>
      <w:r>
        <w:rPr>
          <w:rFonts w:ascii="Times New Roman" w:cs="Times New Roman" w:eastAsia="Times New Roman" w:hAnsi="Times New Roman"/>
          <w:sz w:val="16"/>
          <w:szCs w:val="16"/>
          <w:b w:val="1"/>
          <w:bCs w:val="1"/>
          <w:i w:val="1"/>
          <w:iCs w:val="1"/>
          <w:color w:val="auto"/>
        </w:rPr>
        <w:t>Certificate</w:t>
      </w:r>
      <w:r>
        <w:rPr>
          <w:rFonts w:ascii="Times New Roman" w:cs="Times New Roman" w:eastAsia="Times New Roman" w:hAnsi="Times New Roman"/>
          <w:sz w:val="16"/>
          <w:szCs w:val="16"/>
          <w:color w:val="auto"/>
        </w:rPr>
        <w:t>”) as follows:</w:t>
      </w:r>
    </w:p>
    <w:p>
      <w:pPr>
        <w:spacing w:after="0" w:line="165" w:lineRule="exact"/>
        <w:rPr>
          <w:sz w:val="20"/>
          <w:szCs w:val="20"/>
          <w:color w:val="auto"/>
        </w:rPr>
      </w:pPr>
    </w:p>
    <w:p>
      <w:pPr>
        <w:ind w:left="1020" w:right="4960" w:hanging="506"/>
        <w:spacing w:after="0" w:line="462" w:lineRule="auto"/>
        <w:tabs>
          <w:tab w:leader="none" w:pos="66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I of the Certificate is hereby amended and restated in its entirety to read as follows: “The name of the Corporation is Zoom Communications, Inc.”</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Third: </w:t>
      </w:r>
      <w:r>
        <w:rPr>
          <w:rFonts w:ascii="Times New Roman" w:cs="Times New Roman" w:eastAsia="Times New Roman" w:hAnsi="Times New Roman"/>
          <w:sz w:val="16"/>
          <w:szCs w:val="16"/>
          <w:color w:val="auto"/>
        </w:rPr>
        <w:t>All other provisions of the Certificate, as currently on file with the Secretary of State of the State of Delaware, shall remain in full force and effect.</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This Certificate of Amendment shall become effective on November 25, 2024 at 4:00 PM Eastern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[Remainder of Page Intentionally Left Blank]</w:t>
      </w:r>
    </w:p>
    <w:p>
      <w:pPr>
        <w:sectPr>
          <w:pgSz w:w="11900" w:h="16838" w:orient="portrait"/>
          <w:cols w:equalWidth="0" w:num="1">
            <w:col w:w="11280"/>
          </w:cols>
          <w:pgMar w:left="300" w:top="113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authorized officer of the Corporation has caused this Certificate of Amendment to be signed as of November 25, 2024.</w:t>
      </w:r>
    </w:p>
    <w:p>
      <w:pPr>
        <w:sectPr>
          <w:pgSz w:w="11900" w:h="16838" w:orient="portrait"/>
          <w:cols w:equalWidth="0" w:num="1">
            <w:col w:w="9800"/>
          </w:cols>
          <w:pgMar w:left="820" w:top="1137" w:right="1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80"/>
        <w:spacing w:after="0"/>
        <w:tabs>
          <w:tab w:leader="none" w:pos="35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auto"/>
        </w:rPr>
        <w:t>/s/ Eric S. Yuan</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Eric S. Yuan</w:t>
      </w:r>
    </w:p>
    <w:p>
      <w:pPr>
        <w:spacing w:after="0" w:line="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9800"/>
          </w:cols>
          <w:pgMar w:left="820" w:top="1137" w:right="1279" w:bottom="144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color w:val="auto"/>
        </w:rPr>
        <w:t>Exhibit 99.1</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u w:val="single" w:color="auto"/>
          <w:color w:val="auto"/>
        </w:rPr>
        <w:t>Zoom Communications Reports Financial Results for the Third Quarter of Fiscal Year 2025</w:t>
      </w:r>
    </w:p>
    <w:p>
      <w:pPr>
        <w:spacing w:after="0" w:line="94"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Third quarter total revenue of $1,177.5 million, up 3.6% year over year as reported and in constant currency</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Third quarter Enterprise revenue of $698.9 million, up 5.8% year over year</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Third quarter GAAP operating margin of 15.5% and non-GAAP operating margin of 38.9%</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Number of customers contributing more than $100,000 in trailing 12 months revenue up 7.1% year over year</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Repurchased approximately 4.4 million shares of common stock in third quarter</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Increased total common stock repurchase authorization by $1.2 billion, resulting in approximately $2.0 billion remaining to be repurchased</w:t>
      </w:r>
    </w:p>
    <w:p>
      <w:pPr>
        <w:spacing w:after="0" w:line="17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San Jose, California – </w:t>
      </w:r>
      <w:r>
        <w:rPr>
          <w:rFonts w:ascii="Times New Roman" w:cs="Times New Roman" w:eastAsia="Times New Roman" w:hAnsi="Times New Roman"/>
          <w:sz w:val="14"/>
          <w:szCs w:val="14"/>
          <w:color w:val="auto"/>
        </w:rPr>
        <w:t>November 25, 2024 – Zoom Communications, Inc. (NASDAQ: ZM), today announced financial results for the third fiscal quarter ended October 31, 2024. On November 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the company changed its corporate name from Zoom Video Communications, Inc. to Zoom Communications, Inc.</w:t>
      </w:r>
    </w:p>
    <w:p>
      <w:pPr>
        <w:spacing w:after="0" w:line="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“At Zoomtopia we announced major milestones such as AI Companion 2.0 and paid add-ons for AI Companion and industry-specific AI customization, further cementing our vision to deliver a differentiated AI-first work platform that empowers customers to achieve more than ever,” said Eric S. Yuan, Zoom founder and CEO. “In Q3, we were pleased to see revenue and enterprise revenue growth improve to approximately 4% and 6% year over year, respectively, and Online monthly average churn reach an all-time low of 2.7%. Additionally, Zoom Contact Center set a record with an over 20,000-seat deal in EMEA, and Workvivo secured its largest deal ever with a Fortune 10 company, showing our success in landing and expanding with global enterprises that recognize the promise of our integrated Workplace and Business Services platform.”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Quarter Fiscal Year 2025 Financial Highlights:</w:t>
      </w:r>
    </w:p>
    <w:p>
      <w:pPr>
        <w:spacing w:after="0" w:line="168" w:lineRule="exact"/>
        <w:rPr>
          <w:sz w:val="20"/>
          <w:szCs w:val="20"/>
          <w:color w:val="auto"/>
        </w:rPr>
      </w:pPr>
    </w:p>
    <w:p>
      <w:pPr>
        <w:ind w:left="760" w:right="20" w:hanging="246"/>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14"/>
          <w:szCs w:val="14"/>
          <w:color w:val="auto"/>
        </w:rPr>
        <w:t>Total revenue for the third quarter was $1,177.5 million, up 3.6% year over year. Adjusting for foreign currency impact, revenue in constant currency was $1,177.3 million, up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3.6% year over year. Enterprise revenue was $698.9 million, up 5.8% year over year, and Online revenue was $478.7 million, flat year over year.</w:t>
      </w:r>
    </w:p>
    <w:p>
      <w:pPr>
        <w:spacing w:after="0" w:line="35" w:lineRule="exact"/>
        <w:rPr>
          <w:rFonts w:ascii="Times New Roman" w:cs="Times New Roman" w:eastAsia="Times New Roman" w:hAnsi="Times New Roman"/>
          <w:sz w:val="14"/>
          <w:szCs w:val="14"/>
          <w:color w:val="auto"/>
        </w:rPr>
      </w:pPr>
    </w:p>
    <w:p>
      <w:pPr>
        <w:ind w:left="760" w:right="180" w:hanging="246"/>
        <w:spacing w:after="0" w:line="265" w:lineRule="auto"/>
        <w:tabs>
          <w:tab w:leader="none" w:pos="756"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from Operations and Operating Margin: </w:t>
      </w:r>
      <w:r>
        <w:rPr>
          <w:rFonts w:ascii="Times New Roman" w:cs="Times New Roman" w:eastAsia="Times New Roman" w:hAnsi="Times New Roman"/>
          <w:sz w:val="14"/>
          <w:szCs w:val="14"/>
          <w:color w:val="auto"/>
        </w:rPr>
        <w:t>GAAP income from operations for the third quarter was $182.8 million, compared to GAAP income from operations of $169.4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in the third quarter of fiscal year 2024. Non-GAAP income from operations, which adjusts for stock-based compensation expense and related payroll taxes, acquisition-related expenses, and litigation settlements, net, was $457.8 million for the third quarter, compared to non-GAAP income from operations of $447.1 million in the third quarter of fiscal year 2024. For the third quarter, GAAP operating margin was 15.5% and non-GAAP operating margin was 38.9%.</w:t>
      </w:r>
    </w:p>
    <w:p>
      <w:pPr>
        <w:spacing w:after="0" w:line="137" w:lineRule="exact"/>
        <w:rPr>
          <w:rFonts w:ascii="Times New Roman" w:cs="Times New Roman" w:eastAsia="Times New Roman" w:hAnsi="Times New Roman"/>
          <w:sz w:val="14"/>
          <w:szCs w:val="14"/>
          <w:b w:val="1"/>
          <w:bCs w:val="1"/>
          <w:color w:val="auto"/>
        </w:rPr>
      </w:pPr>
    </w:p>
    <w:p>
      <w:pPr>
        <w:ind w:left="760" w:right="60" w:hanging="246"/>
        <w:spacing w:after="0" w:line="265" w:lineRule="auto"/>
        <w:tabs>
          <w:tab w:leader="none" w:pos="756"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Net Income and Diluted Net Income Per Share: </w:t>
      </w:r>
      <w:r>
        <w:rPr>
          <w:rFonts w:ascii="Times New Roman" w:cs="Times New Roman" w:eastAsia="Times New Roman" w:hAnsi="Times New Roman"/>
          <w:sz w:val="14"/>
          <w:szCs w:val="14"/>
          <w:color w:val="auto"/>
        </w:rPr>
        <w:t>GAAP net income for the third quarter was $207.1 million, or $0.66 per share, compared to GAAP net income of $141.2 million,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$0.45 per share, in the third quarter of fiscal year 2024. Non-GAAP net income, which adjusts for stock-based compensation expense and related payroll taxes, gains on strategic investments, net, acquisition-related expenses, litigation settlements, net, and the tax effects on non-GAAP adjustments, was $435.1 million for the third quarter. Non-GAAP net income per share was $1.38. In the third quarter of fiscal year 2024, non-GAAP net income was $401.2 million, or $1.29 per share.</w:t>
      </w:r>
    </w:p>
    <w:p>
      <w:pPr>
        <w:spacing w:after="0" w:line="137" w:lineRule="exact"/>
        <w:rPr>
          <w:rFonts w:ascii="Times New Roman" w:cs="Times New Roman" w:eastAsia="Times New Roman" w:hAnsi="Times New Roman"/>
          <w:sz w:val="14"/>
          <w:szCs w:val="14"/>
          <w:b w:val="1"/>
          <w:bCs w:val="1"/>
          <w:color w:val="auto"/>
        </w:rPr>
      </w:pPr>
    </w:p>
    <w:p>
      <w:pPr>
        <w:ind w:left="760" w:hanging="246"/>
        <w:spacing w:after="0"/>
        <w:tabs>
          <w:tab w:leader="none" w:pos="7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Cash and Marketable Securities: </w:t>
      </w:r>
      <w:r>
        <w:rPr>
          <w:rFonts w:ascii="Times New Roman" w:cs="Times New Roman" w:eastAsia="Times New Roman" w:hAnsi="Times New Roman"/>
          <w:sz w:val="14"/>
          <w:szCs w:val="14"/>
          <w:color w:val="auto"/>
        </w:rPr>
        <w:t>Total cash, cash equivalents, and marketable securities, excluding restricted cash, as of October 31, 2024 was $7.7 billion.</w:t>
      </w:r>
    </w:p>
    <w:p>
      <w:pPr>
        <w:spacing w:after="0" w:line="93" w:lineRule="exact"/>
        <w:rPr>
          <w:rFonts w:ascii="Times New Roman" w:cs="Times New Roman" w:eastAsia="Times New Roman" w:hAnsi="Times New Roman"/>
          <w:sz w:val="14"/>
          <w:szCs w:val="14"/>
          <w:b w:val="1"/>
          <w:bCs w:val="1"/>
          <w:color w:val="auto"/>
        </w:rPr>
      </w:pPr>
    </w:p>
    <w:p>
      <w:pPr>
        <w:jc w:val="both"/>
        <w:ind w:left="760" w:right="80" w:hanging="246"/>
        <w:spacing w:after="0" w:line="271"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Cash Flow: </w:t>
      </w:r>
      <w:r>
        <w:rPr>
          <w:rFonts w:ascii="Times New Roman" w:cs="Times New Roman" w:eastAsia="Times New Roman" w:hAnsi="Times New Roman"/>
          <w:sz w:val="14"/>
          <w:szCs w:val="14"/>
          <w:color w:val="auto"/>
        </w:rPr>
        <w:t>Net cash provided by operating activities was $483.2 million for the third quarter, compared to $493.2 million in the third quarter of fiscal year 2024, down 2.0% year over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 Free cash flow, which is net cash provided by operating activities less purchases of property and equipment, was $457.7 million, compared to $453.2 million in the third quarter of fiscal year 2024, up 1.0% year over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Customer Metrics: </w:t>
      </w:r>
      <w:r>
        <w:rPr>
          <w:rFonts w:ascii="Times New Roman" w:cs="Times New Roman" w:eastAsia="Times New Roman" w:hAnsi="Times New Roman"/>
          <w:sz w:val="14"/>
          <w:szCs w:val="14"/>
          <w:color w:val="auto"/>
        </w:rPr>
        <w:t>Drivers of total revenue included acquiring new customers. At the end of the third quarter of fiscal year 2025, Zoom had:</w:t>
      </w:r>
    </w:p>
    <w:p>
      <w:pPr>
        <w:spacing w:after="0" w:line="106" w:lineRule="exact"/>
        <w:rPr>
          <w:sz w:val="20"/>
          <w:szCs w:val="20"/>
          <w:color w:val="auto"/>
        </w:rPr>
      </w:pPr>
    </w:p>
    <w:p>
      <w:pPr>
        <w:ind w:left="760" w:hanging="246"/>
        <w:spacing w:after="0"/>
        <w:tabs>
          <w:tab w:leader="none" w:pos="7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3,995 customers contributing more than $100,000 in trailing 12 months revenue, up 7.1% from the same quarter last fiscal year.</w:t>
      </w:r>
    </w:p>
    <w:p>
      <w:pPr>
        <w:sectPr>
          <w:pgSz w:w="11900" w:h="16838" w:orient="portrait"/>
          <w:cols w:equalWidth="0" w:num="1">
            <w:col w:w="11280"/>
          </w:cols>
          <w:pgMar w:left="300" w:top="920" w:right="319" w:bottom="1440" w:gutter="0" w:footer="0" w:header="0"/>
        </w:sectPr>
      </w:pPr>
    </w:p>
    <w:bookmarkStart w:id="31" w:name="page32"/>
    <w:bookmarkEnd w:id="31"/>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192,400 Enterprise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trailing 12-month net dollar expansion rate for Enterprise customers of 98%.</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average monthly churn of 2.7% for the third quarter, down 30 bps from the same quarter last fiscal year.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total Online MRR from Online customers with a continual term of service of at least 16 months was 74.1%, up 90 bps year over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Financial Outlook: </w:t>
      </w:r>
      <w:r>
        <w:rPr>
          <w:rFonts w:ascii="Times New Roman" w:cs="Times New Roman" w:eastAsia="Times New Roman" w:hAnsi="Times New Roman"/>
          <w:sz w:val="14"/>
          <w:szCs w:val="14"/>
          <w:color w:val="auto"/>
        </w:rPr>
        <w:t>Zoom is providing the following guidance for its fourth quarter of fiscal year 2025 and its full fiscal year 2025.</w:t>
      </w:r>
    </w:p>
    <w:p>
      <w:pPr>
        <w:spacing w:after="0" w:line="96" w:lineRule="exact"/>
        <w:rPr>
          <w:sz w:val="20"/>
          <w:szCs w:val="20"/>
          <w:color w:val="auto"/>
        </w:rPr>
      </w:pPr>
    </w:p>
    <w:p>
      <w:pPr>
        <w:ind w:left="760" w:right="180" w:hanging="246"/>
        <w:spacing w:after="0" w:line="270" w:lineRule="auto"/>
        <w:tabs>
          <w:tab w:leader="none" w:pos="75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Fourth Quarter Fiscal Year 2025: Total revenue is expected to be between $1.175 billion and $1.180 billion and revenue in constant currency is expected to be between $1.174 billion and $1.179 billion. Non-GAAP income from operations is expected to be between $443.0 million and $448.0 million. Non-GAAP diluted EPS is expected to be between $1.29 and $1.30 with approximately 315 million weighted average shares outstanding.</w:t>
      </w:r>
    </w:p>
    <w:p>
      <w:pPr>
        <w:spacing w:after="0" w:line="50" w:lineRule="exact"/>
        <w:rPr>
          <w:rFonts w:ascii="Times New Roman" w:cs="Times New Roman" w:eastAsia="Times New Roman" w:hAnsi="Times New Roman"/>
          <w:sz w:val="14"/>
          <w:szCs w:val="14"/>
          <w:b w:val="1"/>
          <w:bCs w:val="1"/>
          <w:color w:val="auto"/>
        </w:rPr>
      </w:pPr>
    </w:p>
    <w:p>
      <w:pPr>
        <w:ind w:left="760" w:right="120" w:hanging="246"/>
        <w:spacing w:after="0" w:line="264" w:lineRule="auto"/>
        <w:tabs>
          <w:tab w:leader="none" w:pos="75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Full Fiscal Year 2025: Total revenue is expected to be between $4.656 billion and $4.661 billion and revenue in constant currency is expected to be between $4.661 billion and $4.666 billion. Full fiscal year non-GAAP income from operations is expected to be between $1.813 billion and $1.818 billion. Full fiscal year non-GAAP diluted EPS is expected to be between $5.41 and $5.43 with approximately 315 million weighted average shares outstanding. Full fiscal year free cash flow is expected to be between $1.580 billion and $1.620 billion.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EPS and share count figures do not include the impact from the share repurchase authorization discussed below.</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supplemental financial presentation and other information can be accessed through Zoom’s investor relations website at investors.zoom.us.</w:t>
      </w:r>
    </w:p>
    <w:p>
      <w:pPr>
        <w:spacing w:after="0" w:line="177"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Stock Repurchase Authorization: </w:t>
      </w:r>
      <w:r>
        <w:rPr>
          <w:rFonts w:ascii="Times New Roman" w:cs="Times New Roman" w:eastAsia="Times New Roman" w:hAnsi="Times New Roman"/>
          <w:sz w:val="14"/>
          <w:szCs w:val="14"/>
          <w:color w:val="auto"/>
        </w:rPr>
        <w:t>In November 2024, Zoom’s Board of Directors authorized the repurchase of an additional $1.2 billion of Zoom’s outstanding Class A common stock.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authorization is in addition to the amount remaining under the prior authorization for the share repurchase program, for a total of approximately $2.0 billion remaining to be repurchased.</w:t>
      </w:r>
    </w:p>
    <w:p>
      <w:pPr>
        <w:spacing w:after="0" w:line="143"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Repurchases of Zoom’s Class A common stock may be effected, from time to time, either on the open market (including pre-set trading plans), in privately negotiated transactions, and other transactions in accordance with applicable securities laws.</w:t>
      </w:r>
    </w:p>
    <w:p>
      <w:pPr>
        <w:spacing w:after="0" w:line="1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timing and the amount of any repurchased Class A common stock will be determined by Zoom's management based on its evaluation of market conditions and other factors. The repurchase program will be funded using Zoom's working capital. Any repurchased shares of Class A common stock will be retired. The repurchase program does not obligate Zoom to acquire any particular amount of Class A common stock, and the repurchase program may be suspended or discontinued at any time at Zoom’s discretion.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Zoom Video Earnings Call</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Zoom will host a Zoom Video Webinar for investors on November 25, 2024 at 2:00 p.m. Pacific Time / 5:00 p.m. Eastern Time to discuss the company’s financial results, business highlights and financial outlook. Investors are invited to join the Zoom Video Webinar by visiting: https://investors.zoom.us/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Zoom</w:t>
      </w:r>
    </w:p>
    <w:p>
      <w:pPr>
        <w:spacing w:after="0" w:line="9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Zoom’s mission is to provide one platform that delivers limitless human connection. Reimagine teamwork with Zoom Workplace — Zoom’s open collaboration platform with AI Companion empowers teams to be more productive.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information at zoom.com.</w:t>
      </w:r>
    </w:p>
    <w:p>
      <w:pPr>
        <w:sectPr>
          <w:pgSz w:w="11900" w:h="16838" w:orient="portrait"/>
          <w:cols w:equalWidth="0" w:num="1">
            <w:col w:w="11220"/>
          </w:cols>
          <w:pgMar w:left="300" w:top="814"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This press release contains express and implied “forward-looking statements” within the meaning of the Private Securities Litigation Reform Act of 1995, including statements regarding Zoom's financial outlook for the fourth quarter of fiscal year 2025 and full fiscal year 2025, Zoom’s market position, opportunities, and growth strategy, product initiatives, including future product and feature releases,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July 31, 2024.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5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pacing w:after="0" w:line="6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Non-GAAP Net Income and Non-GAAP Net Income Per Share, Basic and Diluted. Zoom defines non-GAAP net income as GAAP net income adjusted to exclude stock-based compensation expense and related payroll taxes, acquisition-related</w:t>
      </w:r>
    </w:p>
    <w:p>
      <w:pPr>
        <w:sectPr>
          <w:pgSz w:w="11900" w:h="16838" w:orient="portrait"/>
          <w:cols w:equalWidth="0" w:num="1">
            <w:col w:w="11280"/>
          </w:cols>
          <w:pgMar w:left="300" w:top="897" w:right="319" w:bottom="1440" w:gutter="0" w:footer="0" w:header="0"/>
        </w:sectPr>
      </w:pPr>
    </w:p>
    <w:bookmarkStart w:id="33" w:name="page34"/>
    <w:bookmarkEnd w:id="33"/>
    <w:p>
      <w:pPr>
        <w:jc w:val="both"/>
        <w:spacing w:after="0" w:line="264" w:lineRule="auto"/>
        <w:rPr>
          <w:sz w:val="20"/>
          <w:szCs w:val="20"/>
          <w:color w:val="auto"/>
        </w:rPr>
      </w:pPr>
      <w:r>
        <w:rPr>
          <w:rFonts w:ascii="Times New Roman" w:cs="Times New Roman" w:eastAsia="Times New Roman" w:hAnsi="Times New Roman"/>
          <w:sz w:val="14"/>
          <w:szCs w:val="14"/>
          <w:color w:val="auto"/>
        </w:rPr>
        <w:t>expenses, restructuring expenses, gains/losses on strategic investments, net, litigation settlements,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pacing w:after="0" w:line="5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Metrics</w:t>
      </w:r>
    </w:p>
    <w:p>
      <w:pPr>
        <w:spacing w:after="0" w:line="96"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5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Relations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Colleen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Head of Global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press@zoom.us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Charles Eveslage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investors@zoom.us</w:t>
      </w:r>
    </w:p>
    <w:p>
      <w:pPr>
        <w:sectPr>
          <w:pgSz w:w="11900" w:h="16838" w:orient="portrait"/>
          <w:cols w:equalWidth="0" w:num="1">
            <w:col w:w="11220"/>
          </w:cols>
          <w:pgMar w:left="300" w:top="814"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180" w:type="dxa"/>
            <w:vAlign w:val="bottom"/>
            <w:tcBorders>
              <w:bottom w:val="single" w:sz="8" w:color="auto"/>
            </w:tcBorders>
          </w:tcPr>
          <w:p>
            <w:pPr>
              <w:spacing w:after="0"/>
              <w:rPr>
                <w:sz w:val="13"/>
                <w:szCs w:val="13"/>
                <w:color w:val="auto"/>
              </w:rPr>
            </w:pPr>
          </w:p>
        </w:tc>
      </w:tr>
      <w:tr>
        <w:trPr>
          <w:trHeight w:val="108"/>
        </w:trPr>
        <w:tc>
          <w:tcPr>
            <w:tcW w:w="8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October 31,</w:t>
            </w:r>
          </w:p>
        </w:tc>
        <w:tc>
          <w:tcPr>
            <w:tcW w:w="240" w:type="dxa"/>
            <w:vAlign w:val="bottom"/>
          </w:tcPr>
          <w:p>
            <w:pPr>
              <w:spacing w:after="0"/>
              <w:rPr>
                <w:sz w:val="9"/>
                <w:szCs w:val="9"/>
                <w:color w:val="auto"/>
              </w:rPr>
            </w:pPr>
          </w:p>
        </w:tc>
        <w:tc>
          <w:tcPr>
            <w:tcW w:w="1180" w:type="dxa"/>
            <w:vAlign w:val="bottom"/>
          </w:tcPr>
          <w:p>
            <w:pPr>
              <w:jc w:val="right"/>
              <w:ind w:right="350"/>
              <w:spacing w:after="0" w:line="108" w:lineRule="exact"/>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3"/>
        </w:trPr>
        <w:tc>
          <w:tcPr>
            <w:tcW w:w="8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4"/>
                <w:szCs w:val="14"/>
                <w:color w:val="auto"/>
                <w:w w:val="99"/>
              </w:rPr>
              <w:t>(unaudited)</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1,273,823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1,558,252</w:t>
            </w: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6,428,214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5,404,233</w:t>
            </w: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536,078</w:t>
            </w: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208,474</w:t>
            </w: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182,497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219,182</w:t>
            </w:r>
          </w:p>
        </w:tc>
      </w:tr>
      <w:tr>
        <w:trPr>
          <w:trHeight w:val="171"/>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8,532,415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7,926,219</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138,724</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293,704</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58,975</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409,222</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307,295</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730,601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662,177</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noncurrent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154,198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133,477</w:t>
            </w:r>
          </w:p>
        </w:tc>
      </w:tr>
      <w:tr>
        <w:trPr>
          <w:trHeight w:val="17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10,679,869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9,929,793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2"/>
        </w:trPr>
        <w:tc>
          <w:tcPr>
            <w:tcW w:w="8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w:t>
            </w: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500,164</w:t>
            </w: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1,363,392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1,251,848</w:t>
            </w:r>
          </w:p>
        </w:tc>
      </w:tr>
      <w:tr>
        <w:trPr>
          <w:trHeight w:val="171"/>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1,853,426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1,762,187</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18,514</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48,308</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81,378</w:t>
            </w: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1,910,387</w:t>
            </w:r>
          </w:p>
        </w:tc>
      </w:tr>
      <w:tr>
        <w:trPr>
          <w:trHeight w:val="192"/>
        </w:trPr>
        <w:tc>
          <w:tcPr>
            <w:tcW w:w="8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5,241,088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5,228,756</w:t>
            </w: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18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3,431,653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2,789,280</w:t>
            </w: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8,679,834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8,019,406</w:t>
            </w:r>
          </w:p>
        </w:tc>
      </w:tr>
      <w:tr>
        <w:trPr>
          <w:trHeight w:val="17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10,679,869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9,929,793</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Note: The amount of unbilled accounts receivable included within accounts receivable, net on the condensed consolidated balance sheets was $122.6 million and $124.8 million as of October 31, 2024 and January 31, 2024, respectively.</w:t>
      </w:r>
    </w:p>
    <w:p>
      <w:pPr>
        <w:sectPr>
          <w:pgSz w:w="11900" w:h="16838" w:orient="portrait"/>
          <w:cols w:equalWidth="0" w:num="1">
            <w:col w:w="11280"/>
          </w:cols>
          <w:pgMar w:left="300" w:top="728" w:right="31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40" w:type="dxa"/>
            <w:vAlign w:val="bottom"/>
          </w:tcPr>
          <w:p>
            <w:pPr>
              <w:spacing w:after="0"/>
              <w:rPr>
                <w:sz w:val="13"/>
                <w:szCs w:val="13"/>
                <w:color w:val="auto"/>
              </w:rPr>
            </w:pPr>
          </w:p>
        </w:tc>
        <w:tc>
          <w:tcPr>
            <w:tcW w:w="2620" w:type="dxa"/>
            <w:vAlign w:val="bottom"/>
            <w:gridSpan w:val="4"/>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52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1,136,727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3,481,295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3,380,767</w:t>
            </w:r>
          </w:p>
        </w:tc>
      </w:tr>
      <w:tr>
        <w:trPr>
          <w:trHeight w:val="18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283,881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842,272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801,494</w:t>
            </w:r>
          </w:p>
        </w:tc>
      </w:tr>
      <w:tr>
        <w:trPr>
          <w:trHeight w:val="17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893,660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865,739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2,639,023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2,579,273</w:t>
            </w:r>
          </w:p>
        </w:tc>
      </w:tr>
      <w:tr>
        <w:trPr>
          <w:trHeight w:val="16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597,905</w:t>
            </w:r>
          </w:p>
        </w:tc>
      </w:tr>
      <w:tr>
        <w:trPr>
          <w:trHeight w:val="180"/>
        </w:trPr>
        <w:tc>
          <w:tcPr>
            <w:tcW w:w="5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1,068,481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1,170,255</w:t>
            </w:r>
          </w:p>
        </w:tc>
      </w:tr>
      <w:tr>
        <w:trPr>
          <w:trHeight w:val="180"/>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347,016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454,364</w:t>
            </w:r>
          </w:p>
        </w:tc>
      </w:tr>
      <w:tr>
        <w:trPr>
          <w:trHeight w:val="171"/>
        </w:trPr>
        <w:tc>
          <w:tcPr>
            <w:tcW w:w="5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710,820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696,350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2,050,791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2,222,524</w:t>
            </w:r>
          </w:p>
        </w:tc>
      </w:tr>
      <w:tr>
        <w:trPr>
          <w:trHeight w:val="17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356,749</w:t>
            </w: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8,474</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91,248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250,248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114,206</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865,265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479,429</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222,892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140,799</w:t>
            </w:r>
          </w:p>
        </w:tc>
      </w:tr>
      <w:tr>
        <w:trPr>
          <w:trHeight w:val="150"/>
        </w:trPr>
        <w:tc>
          <w:tcPr>
            <w:tcW w:w="52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207,050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141,212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642,373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338,630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5"/>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307,529,696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302,493,182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308,443,893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299,037,999</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314,191,269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310,389,905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314,514,244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306,852,190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728"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154"/>
        </w:trPr>
        <w:tc>
          <w:tcPr>
            <w:tcW w:w="5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207,050</w:t>
            </w:r>
          </w:p>
        </w:tc>
        <w:tc>
          <w:tcPr>
            <w:tcW w:w="100" w:type="dxa"/>
            <w:vAlign w:val="bottom"/>
          </w:tcPr>
          <w:p>
            <w:pPr>
              <w:spacing w:after="0"/>
              <w:rPr>
                <w:sz w:val="14"/>
                <w:szCs w:val="14"/>
                <w:color w:val="auto"/>
              </w:rPr>
            </w:pPr>
          </w:p>
        </w:tc>
        <w:tc>
          <w:tcPr>
            <w:tcW w:w="840" w:type="dxa"/>
            <w:vAlign w:val="bottom"/>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141,212</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642,373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338,630</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240,995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708,370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802,788</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71,227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203,908</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77,179</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20,056</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(Gains) losses on strategic investments, net</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Provision for accounts receivable allowances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29,062</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foreign exchange (gains) losses</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23,281</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15,841</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discount/premium on marketable securities</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(33,307)</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(5,251)</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71,993</w:t>
            </w:r>
          </w:p>
        </w:tc>
        <w:tc>
          <w:tcPr>
            <w:tcW w:w="0" w:type="dxa"/>
            <w:vAlign w:val="bottom"/>
          </w:tcPr>
          <w:p>
            <w:pPr>
              <w:spacing w:after="0"/>
              <w:rPr>
                <w:sz w:val="1"/>
                <w:szCs w:val="1"/>
                <w:color w:val="auto"/>
              </w:rPr>
            </w:pPr>
          </w:p>
        </w:tc>
      </w:tr>
      <w:tr>
        <w:trPr>
          <w:trHeight w:val="168"/>
        </w:trPr>
        <w:tc>
          <w:tcPr>
            <w:tcW w:w="5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(124,455)</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(56,076)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(146,354)</w:t>
            </w:r>
          </w:p>
        </w:tc>
        <w:tc>
          <w:tcPr>
            <w:tcW w:w="0" w:type="dxa"/>
            <w:vAlign w:val="bottom"/>
          </w:tcPr>
          <w:p>
            <w:pPr>
              <w:spacing w:after="0"/>
              <w:rPr>
                <w:sz w:val="1"/>
                <w:szCs w:val="1"/>
                <w:color w:val="auto"/>
              </w:rPr>
            </w:pPr>
          </w:p>
        </w:tc>
      </w:tr>
      <w:tr>
        <w:trPr>
          <w:trHeight w:val="168"/>
        </w:trPr>
        <w:tc>
          <w:tcPr>
            <w:tcW w:w="5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5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 net</w:t>
            </w:r>
          </w:p>
        </w:tc>
        <w:tc>
          <w:tcPr>
            <w:tcW w:w="8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(7,141)</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(16,931)</w:t>
            </w:r>
          </w:p>
        </w:tc>
        <w:tc>
          <w:tcPr>
            <w:tcW w:w="0" w:type="dxa"/>
            <w:vAlign w:val="bottom"/>
          </w:tcPr>
          <w:p>
            <w:pPr>
              <w:spacing w:after="0"/>
              <w:rPr>
                <w:sz w:val="1"/>
                <w:szCs w:val="1"/>
                <w:color w:val="auto"/>
              </w:rPr>
            </w:pPr>
          </w:p>
        </w:tc>
      </w:tr>
      <w:tr>
        <w:trPr>
          <w:trHeight w:val="158"/>
        </w:trPr>
        <w:tc>
          <w:tcPr>
            <w:tcW w:w="5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483,217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493,153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1,520,742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1,247,611</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(1,520,851)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(1,137,431)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(3,702,166)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(2,963,597)</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1,046,249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814,958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2,690,418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2,358,078</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(108,413)</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(52,800)</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strategic investments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107,244</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acquisition, net of cash acquired</w:t>
            </w: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(204,918)</w:t>
            </w:r>
          </w:p>
        </w:tc>
        <w:tc>
          <w:tcPr>
            <w:tcW w:w="0" w:type="dxa"/>
            <w:vAlign w:val="bottom"/>
          </w:tcPr>
          <w:p>
            <w:pPr>
              <w:spacing w:after="0"/>
              <w:rPr>
                <w:sz w:val="1"/>
                <w:szCs w:val="1"/>
                <w:color w:val="auto"/>
              </w:rPr>
            </w:pPr>
          </w:p>
        </w:tc>
      </w:tr>
      <w:tr>
        <w:trPr>
          <w:trHeight w:val="163"/>
        </w:trPr>
        <w:tc>
          <w:tcPr>
            <w:tcW w:w="514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(452,404)</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(364,260)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(1,101,138)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(864,406)</w:t>
            </w:r>
          </w:p>
        </w:tc>
        <w:tc>
          <w:tcPr>
            <w:tcW w:w="0" w:type="dxa"/>
            <w:vAlign w:val="bottom"/>
          </w:tcPr>
          <w:p>
            <w:pPr>
              <w:spacing w:after="0"/>
              <w:rPr>
                <w:sz w:val="1"/>
                <w:szCs w:val="1"/>
                <w:color w:val="auto"/>
              </w:rPr>
            </w:pPr>
          </w:p>
        </w:tc>
      </w:tr>
      <w:tr>
        <w:trPr>
          <w:trHeight w:val="169"/>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8,336</w:t>
            </w: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for employee stock purchase plan</w:t>
            </w: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32,513</w:t>
            </w:r>
          </w:p>
        </w:tc>
        <w:tc>
          <w:tcPr>
            <w:tcW w:w="0" w:type="dxa"/>
            <w:vAlign w:val="bottom"/>
          </w:tcPr>
          <w:p>
            <w:pPr>
              <w:spacing w:after="0"/>
              <w:rPr>
                <w:sz w:val="1"/>
                <w:szCs w:val="1"/>
                <w:color w:val="auto"/>
              </w:rPr>
            </w:pPr>
          </w:p>
        </w:tc>
      </w:tr>
      <w:tr>
        <w:trPr>
          <w:trHeight w:val="129"/>
        </w:trPr>
        <w:tc>
          <w:tcPr>
            <w:tcW w:w="514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Proceeds from employee equity transactions (remitted) to be remitted to employees and tax</w:t>
            </w:r>
          </w:p>
        </w:tc>
        <w:tc>
          <w:tcPr>
            <w:tcW w:w="8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authorities, net</w:t>
            </w:r>
          </w:p>
        </w:tc>
        <w:tc>
          <w:tcPr>
            <w:tcW w:w="8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repurchases of common stock</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(739,311)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14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(300,390)</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(699,106)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35,952</w:t>
            </w:r>
          </w:p>
        </w:tc>
        <w:tc>
          <w:tcPr>
            <w:tcW w:w="0" w:type="dxa"/>
            <w:vAlign w:val="bottom"/>
          </w:tcPr>
          <w:p>
            <w:pPr>
              <w:spacing w:after="0"/>
              <w:rPr>
                <w:sz w:val="1"/>
                <w:szCs w:val="1"/>
                <w:color w:val="auto"/>
              </w:rPr>
            </w:pPr>
          </w:p>
        </w:tc>
      </w:tr>
      <w:tr>
        <w:trPr>
          <w:trHeight w:val="15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(21,273)</w:t>
            </w:r>
          </w:p>
        </w:tc>
        <w:tc>
          <w:tcPr>
            <w:tcW w:w="0" w:type="dxa"/>
            <w:vAlign w:val="bottom"/>
          </w:tcPr>
          <w:p>
            <w:pPr>
              <w:spacing w:after="0"/>
              <w:rPr>
                <w:sz w:val="1"/>
                <w:szCs w:val="1"/>
                <w:color w:val="auto"/>
              </w:rPr>
            </w:pPr>
          </w:p>
        </w:tc>
      </w:tr>
      <w:tr>
        <w:trPr>
          <w:trHeight w:val="16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(282,522)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397,884</w:t>
            </w:r>
          </w:p>
        </w:tc>
        <w:tc>
          <w:tcPr>
            <w:tcW w:w="0" w:type="dxa"/>
            <w:vAlign w:val="bottom"/>
          </w:tcPr>
          <w:p>
            <w:pPr>
              <w:spacing w:after="0"/>
              <w:rPr>
                <w:sz w:val="1"/>
                <w:szCs w:val="1"/>
                <w:color w:val="auto"/>
              </w:rPr>
            </w:pPr>
          </w:p>
        </w:tc>
      </w:tr>
      <w:tr>
        <w:trPr>
          <w:trHeight w:val="16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 beginning of period</w:t>
            </w: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1,549,309</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1,392,232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1,565,380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1,100,243</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 end of period</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1,282,858</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1,498,127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1,282,858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1,498,127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526"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60" w:type="dxa"/>
            <w:vAlign w:val="bottom"/>
          </w:tcPr>
          <w:p>
            <w:pPr>
              <w:spacing w:after="0"/>
              <w:rPr>
                <w:sz w:val="13"/>
                <w:szCs w:val="13"/>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154"/>
        </w:trPr>
        <w:tc>
          <w:tcPr>
            <w:tcW w:w="496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income from operations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182,840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169,389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588,232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356,749</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and related payroll taxes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246,764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266,090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733,749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813,458</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Litigation settlements, net</w:t>
            </w:r>
          </w:p>
        </w:tc>
        <w:tc>
          <w:tcPr>
            <w:tcW w:w="3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52,500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10,190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31,702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35,439</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expenses</w:t>
            </w:r>
          </w:p>
        </w:tc>
        <w:tc>
          <w:tcPr>
            <w:tcW w:w="3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72,993</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income from operations</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457,794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447,139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1,369,933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1,331,139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GAAP operating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15.5 %</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14.9 %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16.9 %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operating margin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207,050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141,212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642,373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338,630</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and related payroll taxes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246,764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266,090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733,749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813,458</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Litigation settlements, net</w:t>
            </w:r>
          </w:p>
        </w:tc>
        <w:tc>
          <w:tcPr>
            <w:tcW w:w="3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52,500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25,471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(26,785)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(8,474)</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3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10,190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31,702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35,439</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expenses</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72,993</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Tax effects on non-GAAP adjustments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(40,614)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(43,197)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(99,484)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(140,494)</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net income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435,066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401,236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1,297,805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1,164,052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 basic and diluted: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GAAP net income per share - basic</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Non-GAAP net income per share - 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GAAP net income per share - diluted</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90"/>
              <w:spacing w:after="0" w:line="143" w:lineRule="exact"/>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line="143" w:lineRule="exact"/>
              <w:rPr>
                <w:sz w:val="20"/>
                <w:szCs w:val="20"/>
                <w:color w:val="auto"/>
              </w:rPr>
            </w:pPr>
            <w:r>
              <w:rPr>
                <w:rFonts w:ascii="Times New Roman" w:cs="Times New Roman" w:eastAsia="Times New Roman" w:hAnsi="Times New Roman"/>
                <w:sz w:val="14"/>
                <w:szCs w:val="14"/>
                <w:color w:val="auto"/>
              </w:rPr>
              <w:t>0.45</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line="143" w:lineRule="exact"/>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line="143"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Non-GAAP net income per share -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GAAP and non-GAAP weighted-average shares used to compute net income per</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 basic</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307,529,696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302,493,182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308,443,893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299,037,999</w:t>
            </w:r>
          </w:p>
        </w:tc>
        <w:tc>
          <w:tcPr>
            <w:tcW w:w="0" w:type="dxa"/>
            <w:vAlign w:val="bottom"/>
          </w:tcPr>
          <w:p>
            <w:pPr>
              <w:spacing w:after="0"/>
              <w:rPr>
                <w:sz w:val="1"/>
                <w:szCs w:val="1"/>
                <w:color w:val="auto"/>
              </w:rPr>
            </w:pPr>
          </w:p>
        </w:tc>
      </w:tr>
      <w:tr>
        <w:trPr>
          <w:trHeight w:val="144"/>
        </w:trPr>
        <w:tc>
          <w:tcPr>
            <w:tcW w:w="49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GAAP and non-GAAP weighted-average shares used to compute net income per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 diluted</w:t>
            </w:r>
          </w:p>
        </w:tc>
        <w:tc>
          <w:tcPr>
            <w:tcW w:w="340" w:type="dxa"/>
            <w:vAlign w:val="bottom"/>
          </w:tcPr>
          <w:p>
            <w:pPr>
              <w:spacing w:after="0"/>
              <w:rPr>
                <w:sz w:val="16"/>
                <w:szCs w:val="16"/>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314,191,269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310,389,905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314,514,244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306,852,190</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483,217</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493,153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1,520,742</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1,247,611</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(25,484)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(39,987)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(128,226)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(108,413)</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Free cash flow (non-GAAP)</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457,733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453,166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1,392,516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1,139,198</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(452,404)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(364,260)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(1,101,138)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(864,406)</w:t>
            </w:r>
          </w:p>
        </w:tc>
        <w:tc>
          <w:tcPr>
            <w:tcW w:w="0" w:type="dxa"/>
            <w:vAlign w:val="bottom"/>
          </w:tcPr>
          <w:p>
            <w:pPr>
              <w:spacing w:after="0"/>
              <w:rPr>
                <w:sz w:val="1"/>
                <w:szCs w:val="1"/>
                <w:color w:val="auto"/>
              </w:rPr>
            </w:pPr>
          </w:p>
        </w:tc>
      </w:tr>
      <w:tr>
        <w:trPr>
          <w:trHeight w:val="17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(300,390)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(5,506)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(699,106)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35,952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 margin (GAAP)</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 margin (non-GAAP)</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34" w:right="35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gridSpan w:val="6"/>
          </w:tcPr>
          <w:p>
            <w:pPr>
              <w:jc w:val="right"/>
              <w:ind w:right="989"/>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2700" w:type="dxa"/>
            <w:vAlign w:val="bottom"/>
            <w:gridSpan w:val="4"/>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9"/>
        </w:trPr>
        <w:tc>
          <w:tcPr>
            <w:tcW w:w="5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1620" w:type="dxa"/>
            <w:vAlign w:val="bottom"/>
            <w:tcBorders>
              <w:top w:val="single" w:sz="8" w:color="auto"/>
              <w:bottom w:val="single" w:sz="8" w:color="auto"/>
            </w:tcBorders>
            <w:gridSpan w:val="3"/>
            <w:shd w:val="clear" w:color="auto" w:fill="CCEEFF"/>
          </w:tcPr>
          <w:p>
            <w:pPr>
              <w:jc w:val="right"/>
              <w:ind w:right="131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1620" w:type="dxa"/>
            <w:vAlign w:val="bottom"/>
            <w:tcBorders>
              <w:top w:val="single" w:sz="8" w:color="auto"/>
              <w:bottom w:val="single" w:sz="8" w:color="auto"/>
            </w:tcBorders>
            <w:gridSpan w:val="3"/>
            <w:shd w:val="clear" w:color="auto" w:fill="CCEEFF"/>
          </w:tcPr>
          <w:p>
            <w:pPr>
              <w:jc w:val="right"/>
              <w:ind w:right="1314"/>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45"/>
        </w:trPr>
        <w:tc>
          <w:tcPr>
            <w:tcW w:w="5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YoY Revenue Growth (%)</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YoY Revenue Growth (%)</w:t>
            </w:r>
          </w:p>
        </w:tc>
      </w:tr>
      <w:tr>
        <w:trPr>
          <w:trHeight w:val="17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revenue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1,177,541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3,481,295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Constant currency impact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 constant currency (non-GAAP)</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1,177,328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3,487,005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86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2024-11-25T15:19:29Z</dcterms:created>
  <dcterms:modified xsi:type="dcterms:W3CDTF">2024-11-25T15:19:29Z</dcterms:modified>
</cp:coreProperties>
</file>