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44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446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Eschenbach Carl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2800 SAND HILL ROAD, SUITE 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MENLO</w:t>
            </w:r>
          </w:p>
        </w:tc>
        <w:tc>
          <w:tcPr>
            <w:tcW w:w="94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PARK</w:t>
            </w:r>
          </w:p>
        </w:tc>
        <w:tc>
          <w:tcPr>
            <w:tcW w:w="9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Zoom Video Communications,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7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7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3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33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w:t>
            </w:r>
          </w:p>
        </w:tc>
        <w:tc>
          <w:tcPr>
            <w:tcW w:w="1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9"/>
              </w:rPr>
              <w:t>Class B Common Stock</w:t>
            </w:r>
            <w:r>
              <w:rPr>
                <w:rFonts w:ascii="Arial" w:cs="Arial" w:eastAsia="Arial" w:hAnsi="Arial"/>
                <w:sz w:val="22"/>
                <w:szCs w:val="22"/>
                <w:color w:val="008000"/>
                <w:w w:val="89"/>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26,727,064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8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7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w w:val="77"/>
                <w:vertAlign w:val="subscript"/>
              </w:rPr>
              <w:t>See Footnotes</w:t>
            </w:r>
            <w:r>
              <w:rPr>
                <w:rFonts w:ascii="Arial" w:cs="Arial" w:eastAsia="Arial" w:hAnsi="Arial"/>
                <w:sz w:val="11"/>
                <w:szCs w:val="11"/>
                <w:color w:val="008000"/>
                <w:w w:val="77"/>
              </w:rPr>
              <w:t>(3)(4)(5)(6)</w:t>
            </w:r>
          </w:p>
        </w:tc>
        <w:tc>
          <w:tcPr>
            <w:tcW w:w="0" w:type="dxa"/>
            <w:vAlign w:val="bottom"/>
          </w:tcPr>
          <w:p>
            <w:pPr>
              <w:spacing w:after="0"/>
              <w:rPr>
                <w:sz w:val="1"/>
                <w:szCs w:val="1"/>
                <w:color w:val="auto"/>
              </w:rPr>
            </w:pPr>
          </w:p>
        </w:tc>
      </w:tr>
      <w:tr>
        <w:trPr>
          <w:trHeight w:val="284"/>
        </w:trPr>
        <w:tc>
          <w:tcPr>
            <w:tcW w:w="3340" w:type="dxa"/>
            <w:vAlign w:val="bottom"/>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jc w:val="center"/>
              <w:spacing w:after="0"/>
              <w:rPr>
                <w:sz w:val="20"/>
                <w:szCs w:val="20"/>
                <w:color w:val="auto"/>
              </w:rPr>
            </w:pPr>
            <w:r>
              <w:rPr>
                <w:rFonts w:ascii="Arial" w:cs="Arial" w:eastAsia="Arial" w:hAnsi="Arial"/>
                <w:sz w:val="11"/>
                <w:szCs w:val="11"/>
                <w:color w:val="008000"/>
              </w:rPr>
              <w:t>(7)</w:t>
            </w:r>
          </w:p>
        </w:tc>
        <w:tc>
          <w:tcPr>
            <w:tcW w:w="1960" w:type="dxa"/>
            <w:vAlign w:val="bottom"/>
          </w:tcPr>
          <w:p>
            <w:pPr>
              <w:ind w:left="80"/>
              <w:spacing w:after="0"/>
              <w:rPr>
                <w:sz w:val="20"/>
                <w:szCs w:val="20"/>
                <w:color w:val="auto"/>
              </w:rPr>
            </w:pPr>
            <w:r>
              <w:rPr>
                <w:rFonts w:ascii="Arial" w:cs="Arial" w:eastAsia="Arial" w:hAnsi="Arial"/>
                <w:sz w:val="18"/>
                <w:szCs w:val="18"/>
                <w:color w:val="0000FF"/>
                <w:w w:val="89"/>
              </w:rPr>
              <w:t>Class B Common Stock</w:t>
            </w:r>
            <w:r>
              <w:rPr>
                <w:rFonts w:ascii="Arial" w:cs="Arial" w:eastAsia="Arial" w:hAnsi="Arial"/>
                <w:sz w:val="22"/>
                <w:szCs w:val="22"/>
                <w:color w:val="008000"/>
                <w:w w:val="89"/>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0000FF"/>
                <w:w w:val="89"/>
              </w:rPr>
              <w:t>690,870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60" w:type="dxa"/>
            <w:vAlign w:val="bottom"/>
          </w:tcPr>
          <w:p>
            <w:pPr>
              <w:ind w:left="420"/>
              <w:spacing w:after="0"/>
              <w:rPr>
                <w:sz w:val="20"/>
                <w:szCs w:val="20"/>
                <w:color w:val="auto"/>
              </w:rPr>
            </w:pPr>
            <w:r>
              <w:rPr>
                <w:rFonts w:ascii="Arial" w:cs="Arial" w:eastAsia="Arial" w:hAnsi="Arial"/>
                <w:sz w:val="18"/>
                <w:szCs w:val="18"/>
                <w:color w:val="0000FF"/>
              </w:rPr>
              <w:t>I</w:t>
            </w:r>
          </w:p>
        </w:tc>
        <w:tc>
          <w:tcPr>
            <w:tcW w:w="1720" w:type="dxa"/>
            <w:vAlign w:val="bottom"/>
          </w:tcPr>
          <w:p>
            <w:pPr>
              <w:ind w:left="100"/>
              <w:spacing w:after="0"/>
              <w:rPr>
                <w:sz w:val="20"/>
                <w:szCs w:val="20"/>
                <w:color w:val="auto"/>
              </w:rPr>
            </w:pPr>
            <w:r>
              <w:rPr>
                <w:rFonts w:ascii="Arial" w:cs="Arial" w:eastAsia="Arial" w:hAnsi="Arial"/>
                <w:sz w:val="18"/>
                <w:szCs w:val="18"/>
                <w:color w:val="0000FF"/>
                <w:w w:val="84"/>
              </w:rPr>
              <w:t>See Footnotes</w:t>
            </w:r>
            <w:r>
              <w:rPr>
                <w:rFonts w:ascii="Arial" w:cs="Arial" w:eastAsia="Arial" w:hAnsi="Arial"/>
                <w:sz w:val="22"/>
                <w:szCs w:val="22"/>
                <w:color w:val="008000"/>
                <w:w w:val="84"/>
                <w:vertAlign w:val="superscript"/>
              </w:rPr>
              <w:t>(3)(4)(5)(6)</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tcPr>
          <w:p>
            <w:pPr>
              <w:ind w:left="100"/>
              <w:spacing w:after="0"/>
              <w:rPr>
                <w:sz w:val="20"/>
                <w:szCs w:val="20"/>
                <w:color w:val="auto"/>
              </w:rPr>
            </w:pPr>
            <w:r>
              <w:rPr>
                <w:rFonts w:ascii="Arial" w:cs="Arial" w:eastAsia="Arial" w:hAnsi="Arial"/>
                <w:sz w:val="11"/>
                <w:szCs w:val="11"/>
                <w:color w:val="008000"/>
              </w:rPr>
              <w:t>(8)(9)</w:t>
            </w:r>
          </w:p>
        </w:tc>
        <w:tc>
          <w:tcPr>
            <w:tcW w:w="0" w:type="dxa"/>
            <w:vAlign w:val="bottom"/>
          </w:tcPr>
          <w:p>
            <w:pPr>
              <w:spacing w:after="0"/>
              <w:rPr>
                <w:sz w:val="1"/>
                <w:szCs w:val="1"/>
                <w:color w:val="auto"/>
              </w:rPr>
            </w:pPr>
          </w:p>
        </w:tc>
      </w:tr>
      <w:tr>
        <w:trPr>
          <w:trHeight w:val="54"/>
        </w:trPr>
        <w:tc>
          <w:tcPr>
            <w:tcW w:w="3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34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96"/>
              </w:rPr>
              <w:t>(2)(10)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(2)(10)</w:t>
            </w:r>
          </w:p>
        </w:tc>
        <w:tc>
          <w:tcPr>
            <w:tcW w:w="1960" w:type="dxa"/>
            <w:vAlign w:val="bottom"/>
          </w:tcPr>
          <w:p>
            <w:pPr>
              <w:ind w:left="360"/>
              <w:spacing w:after="0"/>
              <w:rPr>
                <w:sz w:val="20"/>
                <w:szCs w:val="20"/>
                <w:color w:val="auto"/>
              </w:rPr>
            </w:pPr>
            <w:r>
              <w:rPr>
                <w:rFonts w:ascii="Arial" w:cs="Arial" w:eastAsia="Arial" w:hAnsi="Arial"/>
                <w:sz w:val="18"/>
                <w:szCs w:val="18"/>
                <w:color w:val="0000FF"/>
              </w:rPr>
              <w:t>Class A Common</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0000FF"/>
                <w:w w:val="89"/>
              </w:rPr>
              <w:t>196,642</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96"/>
              </w:rPr>
              <w:t>(2)(10)</w:t>
            </w:r>
          </w:p>
        </w:tc>
        <w:tc>
          <w:tcPr>
            <w:tcW w:w="86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720" w:type="dxa"/>
            <w:vAlign w:val="bottom"/>
          </w:tcPr>
          <w:p>
            <w:pPr>
              <w:ind w:left="100"/>
              <w:spacing w:after="0"/>
              <w:rPr>
                <w:sz w:val="20"/>
                <w:szCs w:val="20"/>
                <w:color w:val="auto"/>
              </w:rPr>
            </w:pPr>
            <w:r>
              <w:rPr>
                <w:rFonts w:ascii="Arial" w:cs="Arial" w:eastAsia="Arial" w:hAnsi="Arial"/>
                <w:sz w:val="18"/>
                <w:szCs w:val="18"/>
                <w:color w:val="0000FF"/>
                <w:w w:val="84"/>
              </w:rPr>
              <w:t>See Footnotes</w:t>
            </w:r>
            <w:r>
              <w:rPr>
                <w:rFonts w:ascii="Arial" w:cs="Arial" w:eastAsia="Arial" w:hAnsi="Arial"/>
                <w:sz w:val="22"/>
                <w:szCs w:val="22"/>
                <w:color w:val="008000"/>
                <w:w w:val="84"/>
                <w:vertAlign w:val="superscript"/>
              </w:rPr>
              <w:t>(3)(4)(5)(6)</w:t>
            </w:r>
          </w:p>
        </w:tc>
        <w:tc>
          <w:tcPr>
            <w:tcW w:w="0" w:type="dxa"/>
            <w:vAlign w:val="bottom"/>
          </w:tcPr>
          <w:p>
            <w:pPr>
              <w:spacing w:after="0"/>
              <w:rPr>
                <w:sz w:val="1"/>
                <w:szCs w:val="1"/>
                <w:color w:val="auto"/>
              </w:rPr>
            </w:pPr>
          </w:p>
        </w:tc>
      </w:tr>
      <w:tr>
        <w:trPr>
          <w:trHeight w:val="114"/>
        </w:trPr>
        <w:tc>
          <w:tcPr>
            <w:tcW w:w="33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60" w:type="dxa"/>
            <w:vAlign w:val="bottom"/>
            <w:vMerge w:val="restart"/>
          </w:tcPr>
          <w:p>
            <w:pPr>
              <w:ind w:left="720"/>
              <w:spacing w:after="0"/>
              <w:rPr>
                <w:sz w:val="20"/>
                <w:szCs w:val="20"/>
                <w:color w:val="auto"/>
              </w:rPr>
            </w:pPr>
            <w:r>
              <w:rPr>
                <w:rFonts w:ascii="Arial" w:cs="Arial" w:eastAsia="Arial" w:hAnsi="Arial"/>
                <w:sz w:val="18"/>
                <w:szCs w:val="18"/>
                <w:color w:val="0000FF"/>
              </w:rPr>
              <w:t>Stock</w:t>
            </w:r>
            <w:r>
              <w:rPr>
                <w:rFonts w:ascii="Arial" w:cs="Arial" w:eastAsia="Arial" w:hAnsi="Arial"/>
                <w:sz w:val="22"/>
                <w:szCs w:val="22"/>
                <w:color w:val="008000"/>
                <w:vertAlign w:val="superscript"/>
              </w:rPr>
              <w:t>(2)</w:t>
            </w: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720" w:type="dxa"/>
            <w:vAlign w:val="bottom"/>
            <w:vMerge w:val="restart"/>
          </w:tcPr>
          <w:p>
            <w:pPr>
              <w:ind w:left="100"/>
              <w:spacing w:after="0"/>
              <w:rPr>
                <w:sz w:val="20"/>
                <w:szCs w:val="20"/>
                <w:color w:val="auto"/>
              </w:rPr>
            </w:pPr>
            <w:r>
              <w:rPr>
                <w:rFonts w:ascii="Arial" w:cs="Arial" w:eastAsia="Arial" w:hAnsi="Arial"/>
                <w:sz w:val="11"/>
                <w:szCs w:val="11"/>
                <w:color w:val="008000"/>
              </w:rPr>
              <w:t>(8)(9)</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D Convertible Preferred Stock is convertible into Class B Common Stock on a 1:1 basis and has no expiration date. Immediately prior to the completion of the Issuer's initial public offering, all shares of Series D Convertible Preferred Stock will be automatically converted into shares of Class B Common Stock. As of the date hereof, Sequoia Capital Global Growth Fund II, L.P. holds 6,599,952 shares of Series D Convertible Preferred Stock, Sequoia Capital Global Growth II Principals Fund, L.P. holds 81,812 shares of Series D Convertible Preferred Stock, Sequoia Capital U.S. Growth Fund VII, LP holds 18,820,532 shares of Series D Convertible Preferred Stock and Sequoia Capital U.S. Growth VII Principals Fund, LP holds 1,224,768 shares of Series D Convertible Preferred Stock.</w:t>
      </w:r>
    </w:p>
    <w:p>
      <w:pPr>
        <w:spacing w:after="0" w:line="8" w:lineRule="exact"/>
        <w:rPr>
          <w:rFonts w:ascii="Arial" w:cs="Arial" w:eastAsia="Arial" w:hAnsi="Arial"/>
          <w:sz w:val="12"/>
          <w:szCs w:val="12"/>
          <w:color w:val="008000"/>
        </w:rPr>
      </w:pPr>
    </w:p>
    <w:p>
      <w:pPr>
        <w:ind w:left="40" w:right="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 w:lineRule="exact"/>
        <w:rPr>
          <w:rFonts w:ascii="Arial" w:cs="Arial" w:eastAsia="Arial" w:hAnsi="Arial"/>
          <w:sz w:val="12"/>
          <w:szCs w:val="12"/>
          <w:color w:val="008000"/>
        </w:rPr>
      </w:pPr>
    </w:p>
    <w:p>
      <w:pPr>
        <w:jc w:val="both"/>
        <w:ind w:left="40" w:right="22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managing member of SC U.S. Growth VII Management, L.P. SC U.S. Growth VII Management, L.P. is the general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 w:lineRule="exact"/>
        <w:rPr>
          <w:rFonts w:ascii="Arial" w:cs="Arial" w:eastAsia="Arial" w:hAnsi="Arial"/>
          <w:sz w:val="12"/>
          <w:szCs w:val="12"/>
          <w:color w:val="008000"/>
        </w:rPr>
      </w:pPr>
    </w:p>
    <w:p>
      <w:pPr>
        <w:ind w:left="40" w:right="4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Each of SC US (TTGP), Ltd. and SC Global Growth II Management, L.P. disclaims beneficial ownership of the securities held by the SC GGFII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4"/>
          <w:szCs w:val="14"/>
          <w:color w:val="008000"/>
        </w:rPr>
      </w:pPr>
    </w:p>
    <w:p>
      <w:pPr>
        <w:ind w:left="40" w:right="6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4"/>
          <w:szCs w:val="14"/>
          <w:color w:val="008000"/>
        </w:rPr>
      </w:pPr>
    </w:p>
    <w:p>
      <w:pPr>
        <w:ind w:left="40" w:right="8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A Convertible Preferred Stock is convertible into Class B Common Stock on a 1:1 basis and has no expiration date. Immediately prior to the completion of the Issuer's initial public offering, all shares of Series A Convertible Preferred Stock will be automatically converted into shares of Class B Common Stock. As of the date hereof, Sequoia Capital Global Growth Fund II, L.P. holds 49,388 shares of Series A Convertible Preferred Stock, Sequoia Capital Global Growth II Principals Fund, L.P. holds 612 shares of Series A Convertible Preferred Stock, Sequoia Capital U.S. Growth Fund V, LP. holds 89,832 shares of Series A Convertible Preferred Stock, Sequoia Capital U.S. Growth Fund VII, LP holds 517,371 shares of Series A Convertible Preferred Stock and Sequoia Capital U.S. Growth VII Principals Fund, LP holds 33,667 shares of Series A Convertible Preferred Stock.</w:t>
      </w:r>
    </w:p>
    <w:p>
      <w:pPr>
        <w:spacing w:after="0" w:line="32" w:lineRule="exact"/>
        <w:rPr>
          <w:rFonts w:ascii="Arial" w:cs="Arial" w:eastAsia="Arial" w:hAnsi="Arial"/>
          <w:sz w:val="14"/>
          <w:szCs w:val="14"/>
          <w:color w:val="008000"/>
        </w:rPr>
      </w:pPr>
    </w:p>
    <w:p>
      <w:pPr>
        <w:jc w:val="both"/>
        <w:ind w:left="40" w:right="5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8" w:lineRule="exact"/>
        <w:rPr>
          <w:rFonts w:ascii="Arial" w:cs="Arial" w:eastAsia="Arial" w:hAnsi="Arial"/>
          <w:sz w:val="12"/>
          <w:szCs w:val="12"/>
          <w:color w:val="008000"/>
        </w:rPr>
      </w:pPr>
    </w:p>
    <w:p>
      <w:pPr>
        <w:jc w:val="both"/>
        <w:ind w:left="40" w:right="360" w:firstLine="9"/>
        <w:spacing w:after="0" w:line="285"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of the date hereof, Sequoia Capital Global Growth Fund II, L.P. holds 22,704 shares of Class B Common Stock, Sequoia Capital Global Growth II Principals Fund, L.P. holds 280 shares of Class B Common Stock, Sequoia Capital U.S. Growth Fund V, LP. holds 104,706 shares of Class B Common Stock, Sequoia Capital U.S. Growth Fund VII, LP holds 64,740 shares of Class B Common Stock and Sequoia Capital U.S. Growth VII Principals Fund, LP holds 4,212 shares of Class B Common Stock.</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24.1 - Power of Attorney</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2"/>
              </w:rPr>
              <w:t>/s/ Jung Yeon Son, Attorney-</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04/17/2019</w:t>
            </w: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In-Fact</w:t>
            </w: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08" w:right="1299"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LIMITED POWER OF ATTORNEY</w:t>
      </w:r>
    </w:p>
    <w:p>
      <w:pPr>
        <w:ind w:left="2740"/>
        <w:spacing w:after="0" w:line="238" w:lineRule="auto"/>
        <w:rPr>
          <w:sz w:val="20"/>
          <w:szCs w:val="20"/>
          <w:color w:val="auto"/>
        </w:rPr>
      </w:pPr>
      <w:r>
        <w:rPr>
          <w:rFonts w:ascii="Courier New" w:cs="Courier New" w:eastAsia="Courier New" w:hAnsi="Courier New"/>
          <w:sz w:val="18"/>
          <w:szCs w:val="18"/>
          <w:color w:val="auto"/>
        </w:rPr>
        <w:t>FOR CERTAIN FILINGS WITH THE</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6"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Chris Cooper, Marie Klemchuk and Jung Yeon Son the undersigned's true and lawful attorney-in-fact to:</w:t>
      </w:r>
    </w:p>
    <w:p>
      <w:pPr>
        <w:spacing w:after="0" w:line="209" w:lineRule="exact"/>
        <w:rPr>
          <w:sz w:val="20"/>
          <w:szCs w:val="20"/>
          <w:color w:val="auto"/>
        </w:rPr>
      </w:pPr>
    </w:p>
    <w:p>
      <w:pPr>
        <w:ind w:left="860" w:right="1779" w:hanging="431"/>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any entity affiliated with Sequoia Capital Operations, LLC or any corporation or other person in which an investment fund affiliated with Sequoia Capital Operations, LLC makes an investment (each, a "Company"), Forms 3, 4, and 5 and amendments thereto in accordance with Section 16(a) of the Securities Exchange Act of 1934, as amended (the "1934 Act"), and the rules thereunder, as well as any reports on Schedules 13D or 13G or Forms 13F or 13H and amendments thereto in each case in accordance with Section 13 of the 1934 Act and the rules thereunder or any Forms 144 in accordance with Rule 144 under the Securities Act of 1933, as amended (the "1933 Act");</w:t>
      </w:r>
    </w:p>
    <w:p>
      <w:pPr>
        <w:spacing w:after="0" w:line="207" w:lineRule="exact"/>
        <w:rPr>
          <w:rFonts w:ascii="Courier New" w:cs="Courier New" w:eastAsia="Courier New" w:hAnsi="Courier New"/>
          <w:sz w:val="18"/>
          <w:szCs w:val="18"/>
          <w:color w:val="auto"/>
        </w:rPr>
      </w:pPr>
    </w:p>
    <w:p>
      <w:pPr>
        <w:ind w:left="860" w:right="1879" w:hanging="431"/>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Form 13F, Form 13H or Form 144 or amendment thereto and timely file such form with the United States Securities and Exchange Commission (the "SEC") and any stock exchange or similar authority; and</w:t>
      </w:r>
    </w:p>
    <w:p>
      <w:pPr>
        <w:spacing w:after="0" w:line="209" w:lineRule="exact"/>
        <w:rPr>
          <w:rFonts w:ascii="Courier New" w:cs="Courier New" w:eastAsia="Courier New" w:hAnsi="Courier New"/>
          <w:sz w:val="18"/>
          <w:szCs w:val="18"/>
          <w:color w:val="auto"/>
        </w:rPr>
      </w:pPr>
    </w:p>
    <w:p>
      <w:pPr>
        <w:ind w:left="860" w:right="1779" w:hanging="431"/>
        <w:spacing w:after="0" w:line="272"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Limited Power of Attorney shall be in such form and shall contain such terms and conditions as such attorney-in-fact may approve.</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any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13 or Section 16 of the 1934 Act or Rule 144 under the 1933 Act.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the foregoing attorneys-in-fact. This Limited Power of Attorney may be filed with the SEC as a confirming statement of the authority granted herein.</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 Page Follows]</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May 3, 2017.</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Carl M. Eschenbach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Carl M. Eschenbach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09324"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2019-12-23T16:04:41Z</dcterms:created>
  <dcterms:modified xsi:type="dcterms:W3CDTF">2019-12-23T16:04:41Z</dcterms:modified>
</cp:coreProperties>
</file>