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July 19, 2021 (July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238760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Zoom Video Communications,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61-1648780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ind w:left="4220"/>
        <w:spacing w:after="0"/>
        <w:rPr>
          <w:sz w:val="20"/>
          <w:szCs w:val="20"/>
          <w:color w:val="auto"/>
        </w:rPr>
      </w:pPr>
      <w:r>
        <w:rPr>
          <w:rFonts w:ascii="Arial" w:cs="Arial" w:eastAsia="Arial" w:hAnsi="Arial"/>
          <w:sz w:val="18"/>
          <w:szCs w:val="18"/>
          <w:b w:val="1"/>
          <w:bCs w:val="1"/>
          <w:color w:val="auto"/>
        </w:rPr>
        <w:t>55 Almaden Boulevard, 6th Floor</w:t>
      </w:r>
    </w:p>
    <w:p>
      <w:pPr>
        <w:spacing w:after="0" w:line="2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Jose, California 95113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209550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ZM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with Five9, Inc.</w:t>
      </w:r>
    </w:p>
    <w:p>
      <w:pPr>
        <w:spacing w:after="0" w:line="121"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On July 16, 2021, Zoom Video Communications, Inc., a Delaware corporation (“Zoom”) entered into an Agreement and Plan of Merger (the “Merger Agreement”) by and among Zoom, Five9, Inc., a Delaware corporation (“Five9”) and Summer Merger Sub, Inc., a Delaware corporation and a direct, wholly owned subsidiary of Zoom (“Merger Sub”). Pursuant to the Merger Agreement, and upon the terms and subject to the conditions therein, at the effective time of the Merger (the “Effective Time”), Merger Sub will merge with and into Five9 (the “Merger”), with Five9 surviving the Merger and continuing as a wholly owned subsidiary of Zoom (Five9, as the surviving entity of the Merger, the “Surviving Corporation”). The Merger Agreement and the consummation of the transactions contemplated thereby have been approved by each of the Five9 board of directors and the Zoom board of directors, and the Five9 board of directors has resolved to recommend to the stockholders of Five9 to approve the transactions contemplated by the Merger Agreement, including the Merger, and adopt the Merger Agreement, subject to its terms and conditions.</w:t>
      </w:r>
    </w:p>
    <w:p>
      <w:pPr>
        <w:spacing w:after="0" w:line="16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i w:val="1"/>
          <w:iCs w:val="1"/>
          <w:color w:val="auto"/>
        </w:rPr>
        <w:t>Consideration to Five9 Stockholders</w:t>
      </w:r>
      <w:r>
        <w:rPr>
          <w:rFonts w:ascii="Arial" w:cs="Arial" w:eastAsia="Arial" w:hAnsi="Arial"/>
          <w:sz w:val="18"/>
          <w:szCs w:val="18"/>
          <w:color w:val="auto"/>
        </w:rPr>
        <w:t>. Subject to the terms and conditions of the Merger Agreement, at the Effective Time, each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 of common stock, par value $0.001 per share, of Five9 (“Five9 Common Stock”) (other than shares of Five9 Common Stock held by Zoom, Five9 or their respective subsidiaries immediately prior to the Effective Time) will be cancelled and automatically converted into the right to receive 0.5533 shares of class A common stock, par value $0.001 per share of Zoom (“Zoom Class A Common Stock”), without interest (the “Merger Consideration”) and, if applicable, an amount in cash, rounded down to the nearest cent, in lieu of any fractional share interest in Zoom Class A Common Stock to which such holder otherwise would have been entitled. The shares of Zoom Class A Common Stock to be issued in connection with the Merger will be listed on The Nasdaq Global Select Market (“Nasdaq”). The Merger is intended to qualify as a reorganization for U.S. federal income tax purposes.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Treatment of Five9 Equity Awards. </w:t>
      </w:r>
      <w:r>
        <w:rPr>
          <w:rFonts w:ascii="Arial" w:cs="Arial" w:eastAsia="Arial" w:hAnsi="Arial"/>
          <w:sz w:val="18"/>
          <w:szCs w:val="18"/>
          <w:color w:val="auto"/>
        </w:rPr>
        <w:t>The Merger Agreement provides that, at the Effective Time:</w:t>
      </w:r>
    </w:p>
    <w:p>
      <w:pPr>
        <w:spacing w:after="0" w:line="131" w:lineRule="exact"/>
        <w:rPr>
          <w:sz w:val="20"/>
          <w:szCs w:val="20"/>
          <w:color w:val="auto"/>
        </w:rPr>
      </w:pPr>
    </w:p>
    <w:p>
      <w:pPr>
        <w:ind w:left="960" w:right="440" w:hanging="42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option (whether vested or unvested) to purchase Five9 Common Stock held by any former employee of Five9 or a subsidiary of Five9 or any non-employee director of Five9 will be automatically cancelled and such holders will be entitled to receive the Merger Consideration in respect of each “net share” covered by such option (as determined in accordance with the formula in the Merger Agreement), less applicable withholding of taxes.</w:t>
      </w:r>
    </w:p>
    <w:p>
      <w:pPr>
        <w:spacing w:after="0" w:line="92" w:lineRule="exact"/>
        <w:rPr>
          <w:rFonts w:ascii="Arial" w:cs="Arial" w:eastAsia="Arial" w:hAnsi="Arial"/>
          <w:sz w:val="18"/>
          <w:szCs w:val="18"/>
          <w:color w:val="auto"/>
        </w:rPr>
      </w:pPr>
    </w:p>
    <w:p>
      <w:pPr>
        <w:ind w:left="960" w:right="22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restricted stock unit award relating to shares of Five9 common stock held by any non-employee director of Five9 will vest and be automatically cancelled and such holders will be entitled to receive the Merger Consideration in respect of each share of Five9 Common Stock covered by such restricted stock unit.</w:t>
      </w:r>
    </w:p>
    <w:p>
      <w:pPr>
        <w:spacing w:after="0" w:line="89" w:lineRule="exact"/>
        <w:rPr>
          <w:rFonts w:ascii="Arial" w:cs="Arial" w:eastAsia="Arial" w:hAnsi="Arial"/>
          <w:sz w:val="18"/>
          <w:szCs w:val="18"/>
          <w:color w:val="auto"/>
        </w:rPr>
      </w:pPr>
    </w:p>
    <w:p>
      <w:pPr>
        <w:ind w:left="960" w:right="60" w:hanging="424"/>
        <w:spacing w:after="0" w:line="28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other options and restricted stock units relating to Five9 Common Stock other than those held by former employees and non-employee directors of Five9 or a subsidiary of Five9 will be assumed by Zoom and converted automatically into corresponding awards relating to Zoom Class A Common Stock in accordance with the terms set forth in the Merger Agreement.</w:t>
      </w:r>
    </w:p>
    <w:p>
      <w:pPr>
        <w:spacing w:after="0" w:line="16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i w:val="1"/>
          <w:iCs w:val="1"/>
          <w:color w:val="auto"/>
        </w:rPr>
        <w:t>Conditions to Closing</w:t>
      </w:r>
      <w:r>
        <w:rPr>
          <w:rFonts w:ascii="Arial" w:cs="Arial" w:eastAsia="Arial" w:hAnsi="Arial"/>
          <w:sz w:val="16"/>
          <w:szCs w:val="16"/>
          <w:color w:val="auto"/>
        </w:rPr>
        <w:t>. Under the terms of the Merger Agreement, the completion of the Merger is subject to certain customary closing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among others: (i) the approval of the Merger and adoption of the Merger Agreement by the affirmative vote of the holders of at least a majority of the outstanding shares of Five9 Common Stock entitled to vote thereon; (ii) the approval for listing on Nasdaq of the Zoom Class A Common Stock to be issued in the Merger; (iii) the effectiveness of a registration statement on Form S-4 filed by Zoom registering the Zoom Class A Common Stock to be issued in connection with the Merger; (iv) the accuracy of the parties’ respective representations and warranties in the Merger Agreement, subject to specified materiality qualifications; (v) compliance by the parties with their respective covenants in the Merger Agreement in all material respects; (vi) the absence of any law or order restraining, enjoining or otherwise prohibiting the consummation of the Merger; (vii) the expiration or termination of the required waiting period applicable to the Merger under the Hart-Scott-Rodino Antitrust Improvements Act of 1976, as amended, and the receipt of all other required pre-closing approvals, consents or clearances under antitrust laws of certain specified jurisdictions or in connection with certain telecommunications laws; (viii) the receipt by each party of opinions to the effect that the Merger will qualify as a reorganization for U.S. federal income tax purposes; and (ix) the absence of a material adverse effect with respect to Five9 and its subsidiaries on or after the date of the Merger Agreement that is continuing as of immediately prior to the closing.</w:t>
      </w:r>
    </w:p>
    <w:p>
      <w:pPr>
        <w:sectPr>
          <w:pgSz w:w="11900" w:h="16838" w:orient="portrait"/>
          <w:cols w:equalWidth="0" w:num="1">
            <w:col w:w="11000"/>
          </w:cols>
          <w:pgMar w:left="440" w:top="270" w:right="459" w:bottom="1440" w:gutter="0" w:footer="0" w:header="0"/>
        </w:sectPr>
      </w:pPr>
    </w:p>
    <w:bookmarkStart w:id="2" w:name="page3"/>
    <w:bookmarkEnd w:id="2"/>
    <w:p>
      <w:pPr>
        <w:ind w:right="40" w:firstLine="44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Warranties and Covenants</w:t>
      </w:r>
      <w:r>
        <w:rPr>
          <w:rFonts w:ascii="Arial" w:cs="Arial" w:eastAsia="Arial" w:hAnsi="Arial"/>
          <w:sz w:val="18"/>
          <w:szCs w:val="18"/>
          <w:color w:val="auto"/>
        </w:rPr>
        <w:t>. The Merger Agreement contains customary representations, warranties and covenants made by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Zoom, Merger Sub and Five9, including, among others, the covenants regarding the conduct of their respective businesses during the pendency of the transactions contemplated by the Merger Agreement, public disclosures and other matters. Five9 is required, among other things, not to solicit alternative business combination transactions and, subject to certain exceptions, not to engage in discussions or negotiations regarding an alternative business combination transaction.</w:t>
      </w:r>
    </w:p>
    <w:p>
      <w:pPr>
        <w:spacing w:after="0" w:line="18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i w:val="1"/>
          <w:iCs w:val="1"/>
          <w:color w:val="auto"/>
        </w:rPr>
        <w:t>Termination Rights</w:t>
      </w:r>
      <w:r>
        <w:rPr>
          <w:rFonts w:ascii="Arial" w:cs="Arial" w:eastAsia="Arial" w:hAnsi="Arial"/>
          <w:sz w:val="18"/>
          <w:szCs w:val="18"/>
          <w:color w:val="auto"/>
        </w:rPr>
        <w:t>. Each of Zoom and Five9 may terminate the Merger Agreement under certain specified circumstances, including (i) if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is not consummated on or before January 16, 2022, subject to two extensions of three months each in order to obtain required regulatory (including telecommunications-related) approvals and one additional extension of three months in order to obtain certain required telecommunications-related approvals, (ii) if the approval of the Five9 stockholders is not obtained, and (iii) if Five9’s board of directors makes an adverse recommendation change with respect to the proposed transaction or to enter into a superior acquisition proposal. In certain circumstances in connection with the termination of the Merger Agreement, including if Five9’s board of directors changes or withdraws its recommendation of the Merger to its stockholders or terminates the Merger Agreement to enter into an agreement with respect to a “superior proposal,” Five9 will be required to pay Zoom a termination fee of $450 million in cash.</w:t>
      </w:r>
    </w:p>
    <w:p>
      <w:pPr>
        <w:spacing w:after="0" w:line="192"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The foregoing description of the Merger Agreement does not purport to be complete and is qualified in its entirety by the full text of the Merger Agreement, a copy of which is filed as Exhibit 2.1 hereto and is incorporated by reference herein. The Merger Agreement has been attached to provide investors with information regarding its terms. It is not intended to provide any other factual information about Zoom, Merger Sub or Five9. In particular, the representations, warranties and covenants of each party set forth in the Merger Agreement have been made only for the purposes of, and were and are solely for the benefit of the parties to, the Merger Agreement, may be subject to limitations agreed upon by the contracting parties, including being qualified by confidential disclosure letters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Merger Agreement is included with this filing only to provide investors with information regarding the terms of the Merger Agreement and not to provide investors with any other factual information regarding the parties or their respective businesses. These confidential disclosure letters contain information that modifies, qualifies and creates exceptions to the representations and warranties and certain covenants set forth in the Merger Agreement.</w:t>
      </w:r>
    </w:p>
    <w:p>
      <w:pPr>
        <w:spacing w:after="0" w:line="32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On July 18, 2021, Zoom and Five9 issued a joint press release announcing the execution of the Merger Agreement. A copy of the press release is furnished as Exhibit 99.1 hereto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ectPr>
          <w:pgSz w:w="11900" w:h="16838" w:orient="portrait"/>
          <w:cols w:equalWidth="0" w:num="1">
            <w:col w:w="11000"/>
          </w:cols>
          <w:pgMar w:left="440" w:top="274" w:right="459" w:bottom="1440" w:gutter="0" w:footer="0" w:header="0"/>
        </w:sectPr>
      </w:pPr>
    </w:p>
    <w:bookmarkStart w:id="3" w:name="page4"/>
    <w:bookmarkEnd w:id="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274" w:right="45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640" w:type="dxa"/>
            <w:vAlign w:val="bottom"/>
            <w:gridSpan w:val="5"/>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96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Agreement and Plan of Merger, dated as of July 16, 2021, by and among Zoom Video Communications, Inc., Five9, Inc. and Summer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Merger Sub, Inc.</w:t>
              </w:r>
            </w:hyperlink>
          </w:p>
        </w:tc>
        <w:tc>
          <w:tcPr>
            <w:tcW w:w="8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640" w:type="dxa"/>
            <w:vAlign w:val="bottom"/>
            <w:gridSpan w:val="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Joint Press Release dated July 18,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24" w:hanging="224"/>
        <w:spacing w:after="0" w:line="263"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omitted pursuant to Item 601(b)(2) of Regulation S-K. Zoom Video Communications, Inc. agrees to furnish supplementally a copy of any omitted schedule to the SEC upon request; provided, however, that Zoom Video Communications, Inc. may request confidential treatment pursuant to Rule 24b-2 of the Securities Exchange Act of 1934, as amended, for any schedules so furnished.</w:t>
      </w:r>
    </w:p>
    <w:p>
      <w:pPr>
        <w:sectPr>
          <w:pgSz w:w="11900" w:h="16838" w:orient="portrait"/>
          <w:cols w:equalWidth="0" w:num="1">
            <w:col w:w="11024"/>
          </w:cols>
          <w:pgMar w:left="436" w:top="270" w:right="439" w:bottom="1440" w:gutter="0" w:footer="0" w:header="0"/>
        </w:sectPr>
      </w:pPr>
    </w:p>
    <w:bookmarkStart w:id="5" w:name="page6"/>
    <w:bookmarkEnd w:id="5"/>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July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Kelly Steckelberg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Signing 8-K</w:t>
      </w:r>
      <w:r>
        <w:rPr>
          <w:rFonts w:ascii="Arial" w:cs="Arial" w:eastAsia="Arial" w:hAnsi="Arial"/>
          <w:sz w:val="18"/>
          <w:szCs w:val="18"/>
          <w:color w:val="auto"/>
        </w:rPr>
        <w:t>]</w:t>
      </w:r>
    </w:p>
    <w:p>
      <w:pPr>
        <w:sectPr>
          <w:pgSz w:w="11900" w:h="16838" w:orient="portrait"/>
          <w:cols w:equalWidth="0" w:num="1">
            <w:col w:w="10720"/>
          </w:cols>
          <w:pgMar w:left="440" w:top="270" w:right="7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Summer Merger Sub, Inc.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Five9, Inc.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July 16, 2021</w:t>
      </w:r>
    </w:p>
    <w:p>
      <w:pPr>
        <w:sectPr>
          <w:pgSz w:w="11900" w:h="16838" w:orient="portrait"/>
          <w:cols w:equalWidth="0" w:num="1">
            <w:col w:w="10020"/>
          </w:cols>
          <w:pgMar w:left="1440" w:top="121"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8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0"/>
                <w:szCs w:val="20"/>
                <w:color w:val="auto"/>
              </w:rPr>
            </w:pPr>
          </w:p>
        </w:tc>
      </w:tr>
      <w:tr>
        <w:trPr>
          <w:trHeight w:val="406"/>
        </w:trPr>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040" w:type="dxa"/>
            <w:vAlign w:val="bottom"/>
          </w:tcPr>
          <w:p>
            <w:pPr>
              <w:spacing w:after="0"/>
              <w:rPr>
                <w:sz w:val="20"/>
                <w:szCs w:val="20"/>
                <w:color w:val="auto"/>
              </w:rPr>
            </w:pPr>
            <w:r>
              <w:rPr>
                <w:rFonts w:ascii="Arial" w:cs="Arial" w:eastAsia="Arial" w:hAnsi="Arial"/>
                <w:sz w:val="18"/>
                <w:szCs w:val="18"/>
                <w:color w:val="auto"/>
              </w:rPr>
              <w:t>ARTICLE I</w:t>
            </w: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THE MERGER</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1.1.</w:t>
            </w:r>
          </w:p>
        </w:tc>
        <w:tc>
          <w:tcPr>
            <w:tcW w:w="7080" w:type="dxa"/>
            <w:vAlign w:val="bottom"/>
          </w:tcPr>
          <w:p>
            <w:pPr>
              <w:ind w:left="60"/>
              <w:spacing w:after="0"/>
              <w:rPr>
                <w:sz w:val="20"/>
                <w:szCs w:val="20"/>
                <w:color w:val="auto"/>
              </w:rPr>
            </w:pPr>
            <w:r>
              <w:rPr>
                <w:rFonts w:ascii="Arial" w:cs="Arial" w:eastAsia="Arial" w:hAnsi="Arial"/>
                <w:sz w:val="18"/>
                <w:szCs w:val="18"/>
                <w:color w:val="auto"/>
              </w:rPr>
              <w:t>THE MERGER</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1.2.</w:t>
            </w:r>
          </w:p>
        </w:tc>
        <w:tc>
          <w:tcPr>
            <w:tcW w:w="7080" w:type="dxa"/>
            <w:vAlign w:val="bottom"/>
          </w:tcPr>
          <w:p>
            <w:pPr>
              <w:ind w:left="60"/>
              <w:spacing w:after="0"/>
              <w:rPr>
                <w:sz w:val="20"/>
                <w:szCs w:val="20"/>
                <w:color w:val="auto"/>
              </w:rPr>
            </w:pPr>
            <w:r>
              <w:rPr>
                <w:rFonts w:ascii="Arial" w:cs="Arial" w:eastAsia="Arial" w:hAnsi="Arial"/>
                <w:sz w:val="18"/>
                <w:szCs w:val="18"/>
                <w:color w:val="auto"/>
              </w:rPr>
              <w:t>EFFECT OF THE MERGER</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1.3.</w:t>
            </w:r>
          </w:p>
        </w:tc>
        <w:tc>
          <w:tcPr>
            <w:tcW w:w="7080" w:type="dxa"/>
            <w:vAlign w:val="bottom"/>
          </w:tcPr>
          <w:p>
            <w:pPr>
              <w:ind w:left="60"/>
              <w:spacing w:after="0"/>
              <w:rPr>
                <w:sz w:val="20"/>
                <w:szCs w:val="20"/>
                <w:color w:val="auto"/>
              </w:rPr>
            </w:pPr>
            <w:r>
              <w:rPr>
                <w:rFonts w:ascii="Arial" w:cs="Arial" w:eastAsia="Arial" w:hAnsi="Arial"/>
                <w:sz w:val="18"/>
                <w:szCs w:val="18"/>
                <w:color w:val="auto"/>
              </w:rPr>
              <w:t>THE CLOSING</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1.4.</w:t>
            </w:r>
          </w:p>
        </w:tc>
        <w:tc>
          <w:tcPr>
            <w:tcW w:w="7080" w:type="dxa"/>
            <w:vAlign w:val="bottom"/>
          </w:tcPr>
          <w:p>
            <w:pPr>
              <w:ind w:left="60"/>
              <w:spacing w:after="0"/>
              <w:rPr>
                <w:sz w:val="20"/>
                <w:szCs w:val="20"/>
                <w:color w:val="auto"/>
              </w:rPr>
            </w:pPr>
            <w:r>
              <w:rPr>
                <w:rFonts w:ascii="Arial" w:cs="Arial" w:eastAsia="Arial" w:hAnsi="Arial"/>
                <w:sz w:val="18"/>
                <w:szCs w:val="18"/>
                <w:color w:val="auto"/>
              </w:rPr>
              <w:t>EFFECTIVE TIME</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1.5.</w:t>
            </w:r>
          </w:p>
        </w:tc>
        <w:tc>
          <w:tcPr>
            <w:tcW w:w="7080" w:type="dxa"/>
            <w:vAlign w:val="bottom"/>
          </w:tcPr>
          <w:p>
            <w:pPr>
              <w:ind w:left="60"/>
              <w:spacing w:after="0"/>
              <w:rPr>
                <w:sz w:val="20"/>
                <w:szCs w:val="20"/>
                <w:color w:val="auto"/>
              </w:rPr>
            </w:pPr>
            <w:r>
              <w:rPr>
                <w:rFonts w:ascii="Arial" w:cs="Arial" w:eastAsia="Arial" w:hAnsi="Arial"/>
                <w:sz w:val="18"/>
                <w:szCs w:val="18"/>
                <w:color w:val="auto"/>
              </w:rPr>
              <w:t>GOVERNING DOCUMENTS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1.6.</w:t>
            </w:r>
          </w:p>
        </w:tc>
        <w:tc>
          <w:tcPr>
            <w:tcW w:w="7080" w:type="dxa"/>
            <w:vAlign w:val="bottom"/>
          </w:tcPr>
          <w:p>
            <w:pPr>
              <w:ind w:left="60"/>
              <w:spacing w:after="0"/>
              <w:rPr>
                <w:sz w:val="20"/>
                <w:szCs w:val="20"/>
                <w:color w:val="auto"/>
              </w:rPr>
            </w:pPr>
            <w:r>
              <w:rPr>
                <w:rFonts w:ascii="Arial" w:cs="Arial" w:eastAsia="Arial" w:hAnsi="Arial"/>
                <w:sz w:val="18"/>
                <w:szCs w:val="18"/>
                <w:color w:val="auto"/>
              </w:rPr>
              <w:t>OFFICERS AND DIRECTORS OF THE SURVIVING COMPANY</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640" w:type="dxa"/>
            <w:vAlign w:val="bottom"/>
            <w:gridSpan w:val="3"/>
          </w:tcPr>
          <w:p>
            <w:pPr>
              <w:spacing w:after="0"/>
              <w:rPr>
                <w:sz w:val="20"/>
                <w:szCs w:val="20"/>
                <w:color w:val="auto"/>
              </w:rPr>
            </w:pPr>
            <w:r>
              <w:rPr>
                <w:rFonts w:ascii="Arial" w:cs="Arial" w:eastAsia="Arial" w:hAnsi="Arial"/>
                <w:sz w:val="18"/>
                <w:szCs w:val="18"/>
                <w:color w:val="auto"/>
              </w:rPr>
              <w:t>ARTICLE II    TREATMENT OF SECURITIES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2.1.</w:t>
            </w:r>
          </w:p>
        </w:tc>
        <w:tc>
          <w:tcPr>
            <w:tcW w:w="7080" w:type="dxa"/>
            <w:vAlign w:val="bottom"/>
          </w:tcPr>
          <w:p>
            <w:pPr>
              <w:ind w:left="60"/>
              <w:spacing w:after="0"/>
              <w:rPr>
                <w:sz w:val="20"/>
                <w:szCs w:val="20"/>
                <w:color w:val="auto"/>
              </w:rPr>
            </w:pPr>
            <w:r>
              <w:rPr>
                <w:rFonts w:ascii="Arial" w:cs="Arial" w:eastAsia="Arial" w:hAnsi="Arial"/>
                <w:sz w:val="18"/>
                <w:szCs w:val="18"/>
                <w:color w:val="auto"/>
              </w:rPr>
              <w:t>TREATMENT OF CAPITAL STOCK</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2.2.</w:t>
            </w:r>
          </w:p>
        </w:tc>
        <w:tc>
          <w:tcPr>
            <w:tcW w:w="7080" w:type="dxa"/>
            <w:vAlign w:val="bottom"/>
          </w:tcPr>
          <w:p>
            <w:pPr>
              <w:ind w:left="60"/>
              <w:spacing w:after="0"/>
              <w:rPr>
                <w:sz w:val="20"/>
                <w:szCs w:val="20"/>
                <w:color w:val="auto"/>
              </w:rPr>
            </w:pPr>
            <w:r>
              <w:rPr>
                <w:rFonts w:ascii="Arial" w:cs="Arial" w:eastAsia="Arial" w:hAnsi="Arial"/>
                <w:sz w:val="18"/>
                <w:szCs w:val="18"/>
                <w:color w:val="auto"/>
              </w:rPr>
              <w:t>PAYMENT FOR SECURITIES; SURRENDER OF CERTIFICATES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2.3.</w:t>
            </w:r>
          </w:p>
        </w:tc>
        <w:tc>
          <w:tcPr>
            <w:tcW w:w="7080" w:type="dxa"/>
            <w:vAlign w:val="bottom"/>
          </w:tcPr>
          <w:p>
            <w:pPr>
              <w:ind w:left="60"/>
              <w:spacing w:after="0"/>
              <w:rPr>
                <w:sz w:val="20"/>
                <w:szCs w:val="20"/>
                <w:color w:val="auto"/>
              </w:rPr>
            </w:pPr>
            <w:r>
              <w:rPr>
                <w:rFonts w:ascii="Arial" w:cs="Arial" w:eastAsia="Arial" w:hAnsi="Arial"/>
                <w:sz w:val="18"/>
                <w:szCs w:val="18"/>
                <w:color w:val="auto"/>
              </w:rPr>
              <w:t>TREATMENT OF COMPANY EQUITY AWARDS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2.4.</w:t>
            </w:r>
          </w:p>
        </w:tc>
        <w:tc>
          <w:tcPr>
            <w:tcW w:w="7080" w:type="dxa"/>
            <w:vAlign w:val="bottom"/>
          </w:tcPr>
          <w:p>
            <w:pPr>
              <w:ind w:left="60"/>
              <w:spacing w:after="0"/>
              <w:rPr>
                <w:sz w:val="20"/>
                <w:szCs w:val="20"/>
                <w:color w:val="auto"/>
              </w:rPr>
            </w:pPr>
            <w:r>
              <w:rPr>
                <w:rFonts w:ascii="Arial" w:cs="Arial" w:eastAsia="Arial" w:hAnsi="Arial"/>
                <w:sz w:val="18"/>
                <w:szCs w:val="18"/>
                <w:color w:val="auto"/>
              </w:rPr>
              <w:t>WITHHOLDING</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2.5.</w:t>
            </w:r>
          </w:p>
        </w:tc>
        <w:tc>
          <w:tcPr>
            <w:tcW w:w="7080" w:type="dxa"/>
            <w:vAlign w:val="bottom"/>
          </w:tcPr>
          <w:p>
            <w:pPr>
              <w:ind w:left="60"/>
              <w:spacing w:after="0"/>
              <w:rPr>
                <w:sz w:val="20"/>
                <w:szCs w:val="20"/>
                <w:color w:val="auto"/>
              </w:rPr>
            </w:pPr>
            <w:r>
              <w:rPr>
                <w:rFonts w:ascii="Arial" w:cs="Arial" w:eastAsia="Arial" w:hAnsi="Arial"/>
                <w:sz w:val="18"/>
                <w:szCs w:val="18"/>
                <w:color w:val="auto"/>
              </w:rPr>
              <w:t>FRACTIONAL SHARES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2.6.</w:t>
            </w:r>
          </w:p>
        </w:tc>
        <w:tc>
          <w:tcPr>
            <w:tcW w:w="7080" w:type="dxa"/>
            <w:vAlign w:val="bottom"/>
          </w:tcPr>
          <w:p>
            <w:pPr>
              <w:ind w:left="60"/>
              <w:spacing w:after="0"/>
              <w:rPr>
                <w:sz w:val="20"/>
                <w:szCs w:val="20"/>
                <w:color w:val="auto"/>
              </w:rPr>
            </w:pPr>
            <w:r>
              <w:rPr>
                <w:rFonts w:ascii="Arial" w:cs="Arial" w:eastAsia="Arial" w:hAnsi="Arial"/>
                <w:sz w:val="18"/>
                <w:szCs w:val="18"/>
                <w:color w:val="auto"/>
              </w:rPr>
              <w:t>TAX TREATMENT</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8640" w:type="dxa"/>
            <w:vAlign w:val="bottom"/>
            <w:gridSpan w:val="3"/>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3.1.</w:t>
            </w:r>
          </w:p>
        </w:tc>
        <w:tc>
          <w:tcPr>
            <w:tcW w:w="7080" w:type="dxa"/>
            <w:vAlign w:val="bottom"/>
          </w:tcPr>
          <w:p>
            <w:pPr>
              <w:ind w:left="60"/>
              <w:spacing w:after="0"/>
              <w:rPr>
                <w:sz w:val="20"/>
                <w:szCs w:val="20"/>
                <w:color w:val="auto"/>
              </w:rPr>
            </w:pPr>
            <w:r>
              <w:rPr>
                <w:rFonts w:ascii="Arial" w:cs="Arial" w:eastAsia="Arial" w:hAnsi="Arial"/>
                <w:sz w:val="18"/>
                <w:szCs w:val="18"/>
                <w:color w:val="auto"/>
              </w:rPr>
              <w:t>QUALIFICATION, ORGANIZATION, SUBSIDIARIES, ETC.</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3.2.</w:t>
            </w:r>
          </w:p>
        </w:tc>
        <w:tc>
          <w:tcPr>
            <w:tcW w:w="7080" w:type="dxa"/>
            <w:vAlign w:val="bottom"/>
          </w:tcPr>
          <w:p>
            <w:pPr>
              <w:ind w:left="60"/>
              <w:spacing w:after="0"/>
              <w:rPr>
                <w:sz w:val="20"/>
                <w:szCs w:val="20"/>
                <w:color w:val="auto"/>
              </w:rPr>
            </w:pPr>
            <w:r>
              <w:rPr>
                <w:rFonts w:ascii="Arial" w:cs="Arial" w:eastAsia="Arial" w:hAnsi="Arial"/>
                <w:sz w:val="18"/>
                <w:szCs w:val="18"/>
                <w:color w:val="auto"/>
              </w:rPr>
              <w:t>CAPITALIZATION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3.3.</w:t>
            </w:r>
          </w:p>
        </w:tc>
        <w:tc>
          <w:tcPr>
            <w:tcW w:w="7080" w:type="dxa"/>
            <w:vAlign w:val="bottom"/>
          </w:tcPr>
          <w:p>
            <w:pPr>
              <w:ind w:left="60"/>
              <w:spacing w:after="0"/>
              <w:rPr>
                <w:sz w:val="20"/>
                <w:szCs w:val="20"/>
                <w:color w:val="auto"/>
              </w:rPr>
            </w:pPr>
            <w:r>
              <w:rPr>
                <w:rFonts w:ascii="Arial" w:cs="Arial" w:eastAsia="Arial" w:hAnsi="Arial"/>
                <w:sz w:val="18"/>
                <w:szCs w:val="18"/>
                <w:color w:val="auto"/>
              </w:rPr>
              <w:t>CORPORATE AUTHORITY</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3.4.</w:t>
            </w:r>
          </w:p>
        </w:tc>
        <w:tc>
          <w:tcPr>
            <w:tcW w:w="7080" w:type="dxa"/>
            <w:vAlign w:val="bottom"/>
          </w:tcPr>
          <w:p>
            <w:pPr>
              <w:ind w:left="60"/>
              <w:spacing w:after="0"/>
              <w:rPr>
                <w:sz w:val="20"/>
                <w:szCs w:val="20"/>
                <w:color w:val="auto"/>
              </w:rPr>
            </w:pPr>
            <w:r>
              <w:rPr>
                <w:rFonts w:ascii="Arial" w:cs="Arial" w:eastAsia="Arial" w:hAnsi="Arial"/>
                <w:sz w:val="18"/>
                <w:szCs w:val="18"/>
                <w:color w:val="auto"/>
              </w:rPr>
              <w:t>GOVERNMENTAL CONSENTS; NO VIOLATION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3.5.</w:t>
            </w:r>
          </w:p>
        </w:tc>
        <w:tc>
          <w:tcPr>
            <w:tcW w:w="7080" w:type="dxa"/>
            <w:vAlign w:val="bottom"/>
          </w:tcPr>
          <w:p>
            <w:pPr>
              <w:ind w:left="60"/>
              <w:spacing w:after="0"/>
              <w:rPr>
                <w:sz w:val="20"/>
                <w:szCs w:val="20"/>
                <w:color w:val="auto"/>
              </w:rPr>
            </w:pPr>
            <w:r>
              <w:rPr>
                <w:rFonts w:ascii="Arial" w:cs="Arial" w:eastAsia="Arial" w:hAnsi="Arial"/>
                <w:sz w:val="18"/>
                <w:szCs w:val="18"/>
                <w:color w:val="auto"/>
              </w:rPr>
              <w:t>SEC REPORTS AND FINANCIAL STATEMENTS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3.6.</w:t>
            </w:r>
          </w:p>
        </w:tc>
        <w:tc>
          <w:tcPr>
            <w:tcW w:w="7080" w:type="dxa"/>
            <w:vAlign w:val="bottom"/>
          </w:tcPr>
          <w:p>
            <w:pPr>
              <w:ind w:left="60"/>
              <w:spacing w:after="0"/>
              <w:rPr>
                <w:sz w:val="20"/>
                <w:szCs w:val="20"/>
                <w:color w:val="auto"/>
              </w:rPr>
            </w:pPr>
            <w:r>
              <w:rPr>
                <w:rFonts w:ascii="Arial" w:cs="Arial" w:eastAsia="Arial" w:hAnsi="Arial"/>
                <w:sz w:val="18"/>
                <w:szCs w:val="18"/>
                <w:color w:val="auto"/>
              </w:rPr>
              <w:t>INTERNAL CONTROLS AND PROCEDURES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3.7.</w:t>
            </w:r>
          </w:p>
        </w:tc>
        <w:tc>
          <w:tcPr>
            <w:tcW w:w="7080" w:type="dxa"/>
            <w:vAlign w:val="bottom"/>
          </w:tcPr>
          <w:p>
            <w:pPr>
              <w:ind w:left="60"/>
              <w:spacing w:after="0"/>
              <w:rPr>
                <w:sz w:val="20"/>
                <w:szCs w:val="20"/>
                <w:color w:val="auto"/>
              </w:rPr>
            </w:pPr>
            <w:r>
              <w:rPr>
                <w:rFonts w:ascii="Arial" w:cs="Arial" w:eastAsia="Arial" w:hAnsi="Arial"/>
                <w:sz w:val="18"/>
                <w:szCs w:val="18"/>
                <w:color w:val="auto"/>
              </w:rPr>
              <w:t>NO UNDISCLOSED LIABILITIES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3.8.</w:t>
            </w:r>
          </w:p>
        </w:tc>
        <w:tc>
          <w:tcPr>
            <w:tcW w:w="7080" w:type="dxa"/>
            <w:vAlign w:val="bottom"/>
          </w:tcPr>
          <w:p>
            <w:pPr>
              <w:ind w:left="60"/>
              <w:spacing w:after="0"/>
              <w:rPr>
                <w:sz w:val="20"/>
                <w:szCs w:val="20"/>
                <w:color w:val="auto"/>
              </w:rPr>
            </w:pPr>
            <w:r>
              <w:rPr>
                <w:rFonts w:ascii="Arial" w:cs="Arial" w:eastAsia="Arial" w:hAnsi="Arial"/>
                <w:sz w:val="18"/>
                <w:szCs w:val="18"/>
                <w:color w:val="auto"/>
              </w:rPr>
              <w:t>ABSENCE OF CERTAIN CHANGES OR EVENTS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3.9.</w:t>
            </w:r>
          </w:p>
        </w:tc>
        <w:tc>
          <w:tcPr>
            <w:tcW w:w="7080" w:type="dxa"/>
            <w:vAlign w:val="bottom"/>
          </w:tcPr>
          <w:p>
            <w:pPr>
              <w:ind w:left="60"/>
              <w:spacing w:after="0"/>
              <w:rPr>
                <w:sz w:val="20"/>
                <w:szCs w:val="20"/>
                <w:color w:val="auto"/>
              </w:rPr>
            </w:pPr>
            <w:r>
              <w:rPr>
                <w:rFonts w:ascii="Arial" w:cs="Arial" w:eastAsia="Arial" w:hAnsi="Arial"/>
                <w:sz w:val="18"/>
                <w:szCs w:val="18"/>
                <w:color w:val="auto"/>
              </w:rPr>
              <w:t>COMPLIANCE WITH LAW; PERMITS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3.10.</w:t>
            </w:r>
          </w:p>
        </w:tc>
        <w:tc>
          <w:tcPr>
            <w:tcW w:w="7080" w:type="dxa"/>
            <w:vAlign w:val="bottom"/>
          </w:tcPr>
          <w:p>
            <w:pPr>
              <w:ind w:left="60"/>
              <w:spacing w:after="0"/>
              <w:rPr>
                <w:sz w:val="20"/>
                <w:szCs w:val="20"/>
                <w:color w:val="auto"/>
              </w:rPr>
            </w:pPr>
            <w:r>
              <w:rPr>
                <w:rFonts w:ascii="Arial" w:cs="Arial" w:eastAsia="Arial" w:hAnsi="Arial"/>
                <w:sz w:val="18"/>
                <w:szCs w:val="18"/>
                <w:color w:val="auto"/>
              </w:rPr>
              <w:t>EMPLOYEE BENEFIT PLANS</w:t>
            </w:r>
          </w:p>
        </w:tc>
        <w:tc>
          <w:tcPr>
            <w:tcW w:w="2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3.11.</w:t>
            </w:r>
          </w:p>
        </w:tc>
        <w:tc>
          <w:tcPr>
            <w:tcW w:w="7080" w:type="dxa"/>
            <w:vAlign w:val="bottom"/>
          </w:tcPr>
          <w:p>
            <w:pPr>
              <w:ind w:left="60"/>
              <w:spacing w:after="0"/>
              <w:rPr>
                <w:sz w:val="20"/>
                <w:szCs w:val="20"/>
                <w:color w:val="auto"/>
              </w:rPr>
            </w:pPr>
            <w:r>
              <w:rPr>
                <w:rFonts w:ascii="Arial" w:cs="Arial" w:eastAsia="Arial" w:hAnsi="Arial"/>
                <w:sz w:val="18"/>
                <w:szCs w:val="18"/>
                <w:color w:val="auto"/>
              </w:rPr>
              <w:t>LABOR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3.12.</w:t>
            </w:r>
          </w:p>
        </w:tc>
        <w:tc>
          <w:tcPr>
            <w:tcW w:w="708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3.13.</w:t>
            </w:r>
          </w:p>
        </w:tc>
        <w:tc>
          <w:tcPr>
            <w:tcW w:w="7080" w:type="dxa"/>
            <w:vAlign w:val="bottom"/>
          </w:tcPr>
          <w:p>
            <w:pPr>
              <w:ind w:left="60"/>
              <w:spacing w:after="0"/>
              <w:rPr>
                <w:sz w:val="20"/>
                <w:szCs w:val="20"/>
                <w:color w:val="auto"/>
              </w:rPr>
            </w:pPr>
            <w:r>
              <w:rPr>
                <w:rFonts w:ascii="Arial" w:cs="Arial" w:eastAsia="Arial" w:hAnsi="Arial"/>
                <w:sz w:val="18"/>
                <w:szCs w:val="18"/>
                <w:color w:val="auto"/>
              </w:rPr>
              <w:t>LITIGATION; ORDERS</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1560" w:type="dxa"/>
            <w:vAlign w:val="bottom"/>
          </w:tcPr>
          <w:p>
            <w:pPr>
              <w:spacing w:after="0"/>
              <w:rPr>
                <w:sz w:val="19"/>
                <w:szCs w:val="19"/>
                <w:color w:val="auto"/>
              </w:rPr>
            </w:pPr>
          </w:p>
        </w:tc>
        <w:tc>
          <w:tcPr>
            <w:tcW w:w="734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19"/>
                <w:szCs w:val="19"/>
                <w:color w:val="auto"/>
              </w:rPr>
            </w:pPr>
          </w:p>
        </w:tc>
      </w:tr>
      <w:tr>
        <w:trPr>
          <w:trHeight w:val="230"/>
        </w:trPr>
        <w:tc>
          <w:tcPr>
            <w:tcW w:w="1560" w:type="dxa"/>
            <w:vAlign w:val="bottom"/>
          </w:tcPr>
          <w:p>
            <w:pPr>
              <w:spacing w:after="0"/>
              <w:rPr>
                <w:sz w:val="20"/>
                <w:szCs w:val="20"/>
                <w:color w:val="auto"/>
              </w:rPr>
            </w:pPr>
          </w:p>
        </w:tc>
        <w:tc>
          <w:tcPr>
            <w:tcW w:w="7340" w:type="dxa"/>
            <w:vAlign w:val="bottom"/>
          </w:tcPr>
          <w:p>
            <w:pPr>
              <w:ind w:left="3520"/>
              <w:spacing w:after="0"/>
              <w:rPr>
                <w:sz w:val="20"/>
                <w:szCs w:val="20"/>
                <w:color w:val="auto"/>
              </w:rPr>
            </w:pPr>
            <w:r>
              <w:rPr>
                <w:rFonts w:ascii="Arial" w:cs="Arial" w:eastAsia="Arial" w:hAnsi="Arial"/>
                <w:sz w:val="18"/>
                <w:szCs w:val="18"/>
                <w:color w:val="auto"/>
              </w:rPr>
              <w:t>(continued)</w:t>
            </w:r>
          </w:p>
        </w:tc>
        <w:tc>
          <w:tcPr>
            <w:tcW w:w="2060" w:type="dxa"/>
            <w:vAlign w:val="bottom"/>
          </w:tcPr>
          <w:p>
            <w:pPr>
              <w:spacing w:after="0"/>
              <w:rPr>
                <w:sz w:val="20"/>
                <w:szCs w:val="20"/>
                <w:color w:val="auto"/>
              </w:rPr>
            </w:pPr>
          </w:p>
        </w:tc>
      </w:tr>
      <w:tr>
        <w:trPr>
          <w:trHeight w:val="312"/>
        </w:trPr>
        <w:tc>
          <w:tcPr>
            <w:tcW w:w="1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9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3.14. INTELLECTUAL PROPERTY</w:t>
            </w: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3.15. PRIVACY AND DATA PROTECTION</w:t>
            </w:r>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3.16. REAL PROPERTY; ASSETS</w:t>
            </w: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3.17. MATERIAL CONTRACTS</w:t>
            </w: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3.18. ENVIRONMENTAL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3.19. CUSTOMERS; SUPPLIERS; RESELLERS; GOVERNMENT ENTITIES</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3.20. 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3.21. INFORMATION SUPPLIED</w:t>
            </w:r>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3.22. OPINION OF FINANCIAL ADVISOR</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3.23. STATE TAKEOVER STATUTES; ANTI-TAKEOVER LAWS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3.24. RELATED PARTY TRANSACTIONS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3.25. FINDERS AND BROKERS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3.26. NO OTHER REPRESENTATIONS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90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340" w:type="dxa"/>
            <w:vAlign w:val="bottom"/>
          </w:tcPr>
          <w:p>
            <w:pPr>
              <w:ind w:left="60"/>
              <w:spacing w:after="0"/>
              <w:rPr>
                <w:sz w:val="20"/>
                <w:szCs w:val="20"/>
                <w:color w:val="auto"/>
              </w:rPr>
            </w:pPr>
            <w:r>
              <w:rPr>
                <w:rFonts w:ascii="Arial" w:cs="Arial" w:eastAsia="Arial" w:hAnsi="Arial"/>
                <w:sz w:val="18"/>
                <w:szCs w:val="18"/>
                <w:color w:val="auto"/>
              </w:rPr>
              <w:t>QUALIFICATION, ORGANIZATION, ETC.</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340" w:type="dxa"/>
            <w:vAlign w:val="bottom"/>
          </w:tcPr>
          <w:p>
            <w:pPr>
              <w:ind w:left="60"/>
              <w:spacing w:after="0"/>
              <w:rPr>
                <w:sz w:val="20"/>
                <w:szCs w:val="20"/>
                <w:color w:val="auto"/>
              </w:rPr>
            </w:pPr>
            <w:r>
              <w:rPr>
                <w:rFonts w:ascii="Arial" w:cs="Arial" w:eastAsia="Arial" w:hAnsi="Arial"/>
                <w:sz w:val="18"/>
                <w:szCs w:val="18"/>
                <w:color w:val="auto"/>
              </w:rPr>
              <w:t>CAPITALIZATION</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340" w:type="dxa"/>
            <w:vAlign w:val="bottom"/>
          </w:tcPr>
          <w:p>
            <w:pPr>
              <w:ind w:left="60"/>
              <w:spacing w:after="0"/>
              <w:rPr>
                <w:sz w:val="20"/>
                <w:szCs w:val="20"/>
                <w:color w:val="auto"/>
              </w:rPr>
            </w:pPr>
            <w:r>
              <w:rPr>
                <w:rFonts w:ascii="Arial" w:cs="Arial" w:eastAsia="Arial" w:hAnsi="Arial"/>
                <w:sz w:val="18"/>
                <w:szCs w:val="18"/>
                <w:color w:val="auto"/>
              </w:rPr>
              <w:t>CORPORATE AUTHORITY</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340" w:type="dxa"/>
            <w:vAlign w:val="bottom"/>
          </w:tcPr>
          <w:p>
            <w:pPr>
              <w:ind w:left="60"/>
              <w:spacing w:after="0"/>
              <w:rPr>
                <w:sz w:val="20"/>
                <w:szCs w:val="20"/>
                <w:color w:val="auto"/>
              </w:rPr>
            </w:pPr>
            <w:r>
              <w:rPr>
                <w:rFonts w:ascii="Arial" w:cs="Arial" w:eastAsia="Arial" w:hAnsi="Arial"/>
                <w:sz w:val="18"/>
                <w:szCs w:val="18"/>
                <w:color w:val="auto"/>
              </w:rPr>
              <w:t>GOVERNMENTAL CONSENTS; NO VIOLATION</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7340" w:type="dxa"/>
            <w:vAlign w:val="bottom"/>
          </w:tcPr>
          <w:p>
            <w:pPr>
              <w:ind w:left="60"/>
              <w:spacing w:after="0"/>
              <w:rPr>
                <w:sz w:val="20"/>
                <w:szCs w:val="20"/>
                <w:color w:val="auto"/>
              </w:rPr>
            </w:pPr>
            <w:r>
              <w:rPr>
                <w:rFonts w:ascii="Arial" w:cs="Arial" w:eastAsia="Arial" w:hAnsi="Arial"/>
                <w:sz w:val="18"/>
                <w:szCs w:val="18"/>
                <w:color w:val="auto"/>
              </w:rPr>
              <w:t>SEC REPORTS AND FINANCIAL STATEMENTS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7340" w:type="dxa"/>
            <w:vAlign w:val="bottom"/>
          </w:tcPr>
          <w:p>
            <w:pPr>
              <w:ind w:left="60"/>
              <w:spacing w:after="0"/>
              <w:rPr>
                <w:sz w:val="20"/>
                <w:szCs w:val="20"/>
                <w:color w:val="auto"/>
              </w:rPr>
            </w:pPr>
            <w:r>
              <w:rPr>
                <w:rFonts w:ascii="Arial" w:cs="Arial" w:eastAsia="Arial" w:hAnsi="Arial"/>
                <w:sz w:val="18"/>
                <w:szCs w:val="18"/>
                <w:color w:val="auto"/>
              </w:rPr>
              <w:t>INTERNAL CONTROLS AND PROCEDURES</w:t>
            </w:r>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7340" w:type="dxa"/>
            <w:vAlign w:val="bottom"/>
          </w:tcPr>
          <w:p>
            <w:pPr>
              <w:ind w:left="60"/>
              <w:spacing w:after="0"/>
              <w:rPr>
                <w:sz w:val="20"/>
                <w:szCs w:val="20"/>
                <w:color w:val="auto"/>
              </w:rPr>
            </w:pPr>
            <w:r>
              <w:rPr>
                <w:rFonts w:ascii="Arial" w:cs="Arial" w:eastAsia="Arial" w:hAnsi="Arial"/>
                <w:sz w:val="18"/>
                <w:szCs w:val="18"/>
                <w:color w:val="auto"/>
              </w:rPr>
              <w:t>NO UNDISCLOSED LIABILITIES</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7340" w:type="dxa"/>
            <w:vAlign w:val="bottom"/>
          </w:tcPr>
          <w:p>
            <w:pPr>
              <w:ind w:left="60"/>
              <w:spacing w:after="0"/>
              <w:rPr>
                <w:sz w:val="20"/>
                <w:szCs w:val="20"/>
                <w:color w:val="auto"/>
              </w:rPr>
            </w:pPr>
            <w:r>
              <w:rPr>
                <w:rFonts w:ascii="Arial" w:cs="Arial" w:eastAsia="Arial" w:hAnsi="Arial"/>
                <w:sz w:val="18"/>
                <w:szCs w:val="18"/>
                <w:color w:val="auto"/>
              </w:rPr>
              <w:t>ABSENCE OF CERTAIN CHANGES OR EVENTS</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7340" w:type="dxa"/>
            <w:vAlign w:val="bottom"/>
          </w:tcPr>
          <w:p>
            <w:pPr>
              <w:ind w:left="60"/>
              <w:spacing w:after="0"/>
              <w:rPr>
                <w:sz w:val="20"/>
                <w:szCs w:val="20"/>
                <w:color w:val="auto"/>
              </w:rPr>
            </w:pPr>
            <w:r>
              <w:rPr>
                <w:rFonts w:ascii="Arial" w:cs="Arial" w:eastAsia="Arial" w:hAnsi="Arial"/>
                <w:sz w:val="18"/>
                <w:szCs w:val="18"/>
                <w:color w:val="auto"/>
              </w:rPr>
              <w:t>COMPLIANCE WITH LAW</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4.10.</w:t>
            </w:r>
          </w:p>
        </w:tc>
        <w:tc>
          <w:tcPr>
            <w:tcW w:w="7340" w:type="dxa"/>
            <w:vAlign w:val="bottom"/>
          </w:tcPr>
          <w:p>
            <w:pPr>
              <w:ind w:left="60"/>
              <w:spacing w:after="0"/>
              <w:rPr>
                <w:sz w:val="20"/>
                <w:szCs w:val="20"/>
                <w:color w:val="auto"/>
              </w:rPr>
            </w:pPr>
            <w:r>
              <w:rPr>
                <w:rFonts w:ascii="Arial" w:cs="Arial" w:eastAsia="Arial" w:hAnsi="Arial"/>
                <w:sz w:val="18"/>
                <w:szCs w:val="18"/>
                <w:color w:val="auto"/>
              </w:rPr>
              <w:t>LITIGATION; ORDERS</w:t>
            </w:r>
          </w:p>
        </w:tc>
        <w:tc>
          <w:tcPr>
            <w:tcW w:w="2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4.11.</w:t>
            </w:r>
          </w:p>
        </w:tc>
        <w:tc>
          <w:tcPr>
            <w:tcW w:w="7340" w:type="dxa"/>
            <w:vAlign w:val="bottom"/>
          </w:tcPr>
          <w:p>
            <w:pPr>
              <w:ind w:left="60"/>
              <w:spacing w:after="0"/>
              <w:rPr>
                <w:sz w:val="20"/>
                <w:szCs w:val="20"/>
                <w:color w:val="auto"/>
              </w:rPr>
            </w:pPr>
            <w:r>
              <w:rPr>
                <w:rFonts w:ascii="Arial" w:cs="Arial" w:eastAsia="Arial" w:hAnsi="Arial"/>
                <w:sz w:val="18"/>
                <w:szCs w:val="18"/>
                <w:color w:val="auto"/>
              </w:rPr>
              <w:t>INFORMATION SUPPLIED</w:t>
            </w:r>
          </w:p>
        </w:tc>
        <w:tc>
          <w:tcPr>
            <w:tcW w:w="2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4.12.</w:t>
            </w:r>
          </w:p>
        </w:tc>
        <w:tc>
          <w:tcPr>
            <w:tcW w:w="7340" w:type="dxa"/>
            <w:vAlign w:val="bottom"/>
          </w:tcPr>
          <w:p>
            <w:pPr>
              <w:ind w:left="60"/>
              <w:spacing w:after="0"/>
              <w:rPr>
                <w:sz w:val="20"/>
                <w:szCs w:val="20"/>
                <w:color w:val="auto"/>
              </w:rPr>
            </w:pPr>
            <w:r>
              <w:rPr>
                <w:rFonts w:ascii="Arial" w:cs="Arial" w:eastAsia="Arial" w:hAnsi="Arial"/>
                <w:sz w:val="18"/>
                <w:szCs w:val="18"/>
                <w:color w:val="auto"/>
              </w:rPr>
              <w:t>VALID ISSUANCE</w:t>
            </w:r>
          </w:p>
        </w:tc>
        <w:tc>
          <w:tcPr>
            <w:tcW w:w="2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4.13.</w:t>
            </w:r>
          </w:p>
        </w:tc>
        <w:tc>
          <w:tcPr>
            <w:tcW w:w="7340" w:type="dxa"/>
            <w:vAlign w:val="bottom"/>
          </w:tcPr>
          <w:p>
            <w:pPr>
              <w:ind w:left="60"/>
              <w:spacing w:after="0"/>
              <w:rPr>
                <w:sz w:val="20"/>
                <w:szCs w:val="20"/>
                <w:color w:val="auto"/>
              </w:rPr>
            </w:pPr>
            <w:r>
              <w:rPr>
                <w:rFonts w:ascii="Arial" w:cs="Arial" w:eastAsia="Arial" w:hAnsi="Arial"/>
                <w:sz w:val="18"/>
                <w:szCs w:val="18"/>
                <w:color w:val="auto"/>
              </w:rPr>
              <w:t>FINDERS AND BROKERS</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4.14.</w:t>
            </w:r>
          </w:p>
        </w:tc>
        <w:tc>
          <w:tcPr>
            <w:tcW w:w="7340" w:type="dxa"/>
            <w:vAlign w:val="bottom"/>
          </w:tcPr>
          <w:p>
            <w:pPr>
              <w:ind w:left="60"/>
              <w:spacing w:after="0"/>
              <w:rPr>
                <w:sz w:val="20"/>
                <w:szCs w:val="20"/>
                <w:color w:val="auto"/>
              </w:rPr>
            </w:pPr>
            <w:r>
              <w:rPr>
                <w:rFonts w:ascii="Arial" w:cs="Arial" w:eastAsia="Arial" w:hAnsi="Arial"/>
                <w:sz w:val="18"/>
                <w:szCs w:val="18"/>
                <w:color w:val="auto"/>
              </w:rPr>
              <w:t>STOCK OWNERSHIP</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6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90"/>
        </w:trPr>
        <w:tc>
          <w:tcPr>
            <w:tcW w:w="10580" w:type="dxa"/>
            <w:vAlign w:val="bottom"/>
            <w:gridSpan w:val="2"/>
          </w:tcPr>
          <w:p>
            <w:pPr>
              <w:ind w:left="360"/>
              <w:spacing w:after="0"/>
              <w:rPr>
                <w:sz w:val="20"/>
                <w:szCs w:val="20"/>
                <w:color w:val="auto"/>
              </w:rPr>
            </w:pPr>
            <w:r>
              <w:rPr>
                <w:rFonts w:ascii="Arial" w:cs="Arial" w:eastAsia="Arial" w:hAnsi="Arial"/>
                <w:sz w:val="18"/>
                <w:szCs w:val="18"/>
                <w:color w:val="auto"/>
              </w:rPr>
              <w:t>SECTION 4.15. NO MERGER SUB ACTIVITY</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0580" w:type="dxa"/>
            <w:vAlign w:val="bottom"/>
            <w:gridSpan w:val="2"/>
          </w:tcPr>
          <w:p>
            <w:pPr>
              <w:ind w:left="360"/>
              <w:spacing w:after="0"/>
              <w:rPr>
                <w:sz w:val="20"/>
                <w:szCs w:val="20"/>
                <w:color w:val="auto"/>
              </w:rPr>
            </w:pPr>
            <w:r>
              <w:rPr>
                <w:rFonts w:ascii="Arial" w:cs="Arial" w:eastAsia="Arial" w:hAnsi="Arial"/>
                <w:sz w:val="18"/>
                <w:szCs w:val="18"/>
                <w:color w:val="auto"/>
              </w:rPr>
              <w:t>SECTION 4.16. TAX MATTERS</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0580" w:type="dxa"/>
            <w:vAlign w:val="bottom"/>
            <w:gridSpan w:val="2"/>
          </w:tcPr>
          <w:p>
            <w:pPr>
              <w:ind w:left="360"/>
              <w:spacing w:after="0"/>
              <w:rPr>
                <w:sz w:val="20"/>
                <w:szCs w:val="20"/>
                <w:color w:val="auto"/>
              </w:rPr>
            </w:pPr>
            <w:r>
              <w:rPr>
                <w:rFonts w:ascii="Arial" w:cs="Arial" w:eastAsia="Arial" w:hAnsi="Arial"/>
                <w:sz w:val="18"/>
                <w:szCs w:val="18"/>
                <w:color w:val="auto"/>
              </w:rPr>
              <w:t>SECTION 4.17. NO OTHER REPRESENTATIONS</w:t>
            </w: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    COVENANTS RELATING TO CONDUCT OF BUSINESS PENDING THE MERGER</w:t>
            </w: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020" w:type="dxa"/>
            <w:vAlign w:val="bottom"/>
          </w:tcPr>
          <w:p>
            <w:pPr>
              <w:ind w:left="60"/>
              <w:spacing w:after="0"/>
              <w:rPr>
                <w:sz w:val="20"/>
                <w:szCs w:val="20"/>
                <w:color w:val="auto"/>
              </w:rPr>
            </w:pPr>
            <w:r>
              <w:rPr>
                <w:rFonts w:ascii="Arial" w:cs="Arial" w:eastAsia="Arial" w:hAnsi="Arial"/>
                <w:sz w:val="18"/>
                <w:szCs w:val="18"/>
                <w:color w:val="auto"/>
              </w:rPr>
              <w:t>CONDUCT OF BUSINESS BY THE COMPANY PENDING THE CLOSING</w:t>
            </w: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020" w:type="dxa"/>
            <w:vAlign w:val="bottom"/>
          </w:tcPr>
          <w:p>
            <w:pPr>
              <w:ind w:left="60"/>
              <w:spacing w:after="0"/>
              <w:rPr>
                <w:sz w:val="20"/>
                <w:szCs w:val="20"/>
                <w:color w:val="auto"/>
              </w:rPr>
            </w:pPr>
            <w:r>
              <w:rPr>
                <w:rFonts w:ascii="Arial" w:cs="Arial" w:eastAsia="Arial" w:hAnsi="Arial"/>
                <w:sz w:val="18"/>
                <w:szCs w:val="18"/>
                <w:color w:val="auto"/>
              </w:rPr>
              <w:t>CONDUCT OF BUSINESS BY PARENT PENDING THE CLOSING</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9020" w:type="dxa"/>
            <w:vAlign w:val="bottom"/>
          </w:tcPr>
          <w:p>
            <w:pPr>
              <w:ind w:left="60"/>
              <w:spacing w:after="0"/>
              <w:rPr>
                <w:sz w:val="20"/>
                <w:szCs w:val="20"/>
                <w:color w:val="auto"/>
              </w:rPr>
            </w:pPr>
            <w:r>
              <w:rPr>
                <w:rFonts w:ascii="Arial" w:cs="Arial" w:eastAsia="Arial" w:hAnsi="Arial"/>
                <w:sz w:val="18"/>
                <w:szCs w:val="18"/>
                <w:color w:val="auto"/>
              </w:rPr>
              <w:t>NO SOLICITATION BY THE COMPANY</w:t>
            </w: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56"/>
        </w:trPr>
        <w:tc>
          <w:tcPr>
            <w:tcW w:w="156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9020" w:type="dxa"/>
            <w:vAlign w:val="bottom"/>
          </w:tcPr>
          <w:p>
            <w:pPr>
              <w:ind w:left="60"/>
              <w:spacing w:after="0"/>
              <w:rPr>
                <w:sz w:val="20"/>
                <w:szCs w:val="20"/>
                <w:color w:val="auto"/>
              </w:rPr>
            </w:pPr>
            <w:r>
              <w:rPr>
                <w:rFonts w:ascii="Arial" w:cs="Arial" w:eastAsia="Arial" w:hAnsi="Arial"/>
                <w:sz w:val="18"/>
                <w:szCs w:val="18"/>
                <w:color w:val="auto"/>
                <w:w w:val="94"/>
              </w:rPr>
              <w:t>PREPARATION OF THE FORM S-4 AND THE PROXY STATEMENT/PROSPECTUS; COMPANY STOCKHOLDERS</w:t>
            </w:r>
          </w:p>
        </w:tc>
        <w:tc>
          <w:tcPr>
            <w:tcW w:w="380" w:type="dxa"/>
            <w:vAlign w:val="bottom"/>
          </w:tcPr>
          <w:p>
            <w:pPr>
              <w:spacing w:after="0"/>
              <w:rPr>
                <w:sz w:val="22"/>
                <w:szCs w:val="22"/>
                <w:color w:val="auto"/>
              </w:rPr>
            </w:pPr>
          </w:p>
        </w:tc>
      </w:tr>
      <w:tr>
        <w:trPr>
          <w:trHeight w:val="230"/>
        </w:trPr>
        <w:tc>
          <w:tcPr>
            <w:tcW w:w="1560" w:type="dxa"/>
            <w:vAlign w:val="bottom"/>
          </w:tcPr>
          <w:p>
            <w:pPr>
              <w:spacing w:after="0"/>
              <w:rPr>
                <w:sz w:val="20"/>
                <w:szCs w:val="20"/>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rPr>
              <w:t>MEETING.</w:t>
            </w: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VI   ADDITIONAL AGREEMENTS</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020" w:type="dxa"/>
            <w:vAlign w:val="bottom"/>
          </w:tcPr>
          <w:p>
            <w:pPr>
              <w:ind w:left="60"/>
              <w:spacing w:after="0"/>
              <w:rPr>
                <w:sz w:val="20"/>
                <w:szCs w:val="20"/>
                <w:color w:val="auto"/>
              </w:rPr>
            </w:pPr>
            <w:r>
              <w:rPr>
                <w:rFonts w:ascii="Arial" w:cs="Arial" w:eastAsia="Arial" w:hAnsi="Arial"/>
                <w:sz w:val="18"/>
                <w:szCs w:val="18"/>
                <w:color w:val="auto"/>
              </w:rPr>
              <w:t>ACCESS; CONFIDENTIALITY; NOTICE OF CERTAIN EVENTS</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020" w:type="dxa"/>
            <w:vAlign w:val="bottom"/>
          </w:tcPr>
          <w:p>
            <w:pPr>
              <w:ind w:left="60"/>
              <w:spacing w:after="0"/>
              <w:rPr>
                <w:sz w:val="20"/>
                <w:szCs w:val="20"/>
                <w:color w:val="auto"/>
              </w:rPr>
            </w:pPr>
            <w:r>
              <w:rPr>
                <w:rFonts w:ascii="Arial" w:cs="Arial" w:eastAsia="Arial" w:hAnsi="Arial"/>
                <w:sz w:val="18"/>
                <w:szCs w:val="18"/>
                <w:color w:val="auto"/>
              </w:rPr>
              <w:t>REASONABLE BEST EFFORTS</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020" w:type="dxa"/>
            <w:vAlign w:val="bottom"/>
          </w:tcPr>
          <w:p>
            <w:pPr>
              <w:ind w:left="60"/>
              <w:spacing w:after="0"/>
              <w:rPr>
                <w:sz w:val="20"/>
                <w:szCs w:val="20"/>
                <w:color w:val="auto"/>
              </w:rPr>
            </w:pPr>
            <w:r>
              <w:rPr>
                <w:rFonts w:ascii="Arial" w:cs="Arial" w:eastAsia="Arial" w:hAnsi="Arial"/>
                <w:sz w:val="18"/>
                <w:szCs w:val="18"/>
                <w:color w:val="auto"/>
              </w:rPr>
              <w:t>PUBLICITY</w:t>
            </w: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9020" w:type="dxa"/>
            <w:vAlign w:val="bottom"/>
          </w:tcPr>
          <w:p>
            <w:pPr>
              <w:ind w:left="60"/>
              <w:spacing w:after="0"/>
              <w:rPr>
                <w:sz w:val="20"/>
                <w:szCs w:val="20"/>
                <w:color w:val="auto"/>
              </w:rPr>
            </w:pPr>
            <w:r>
              <w:rPr>
                <w:rFonts w:ascii="Arial" w:cs="Arial" w:eastAsia="Arial" w:hAnsi="Arial"/>
                <w:sz w:val="18"/>
                <w:szCs w:val="18"/>
                <w:color w:val="auto"/>
              </w:rPr>
              <w:t>D&amp;O INSURANCE AND INDEMNIFICATION</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9020" w:type="dxa"/>
            <w:vAlign w:val="bottom"/>
          </w:tcPr>
          <w:p>
            <w:pPr>
              <w:ind w:left="60"/>
              <w:spacing w:after="0"/>
              <w:rPr>
                <w:sz w:val="20"/>
                <w:szCs w:val="20"/>
                <w:color w:val="auto"/>
              </w:rPr>
            </w:pPr>
            <w:r>
              <w:rPr>
                <w:rFonts w:ascii="Arial" w:cs="Arial" w:eastAsia="Arial" w:hAnsi="Arial"/>
                <w:sz w:val="18"/>
                <w:szCs w:val="18"/>
                <w:color w:val="auto"/>
              </w:rPr>
              <w:t>TAKEOVER STATUTES</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9020" w:type="dxa"/>
            <w:vAlign w:val="bottom"/>
          </w:tcPr>
          <w:p>
            <w:pPr>
              <w:ind w:left="60"/>
              <w:spacing w:after="0"/>
              <w:rPr>
                <w:sz w:val="20"/>
                <w:szCs w:val="20"/>
                <w:color w:val="auto"/>
              </w:rPr>
            </w:pPr>
            <w:r>
              <w:rPr>
                <w:rFonts w:ascii="Arial" w:cs="Arial" w:eastAsia="Arial" w:hAnsi="Arial"/>
                <w:sz w:val="18"/>
                <w:szCs w:val="18"/>
                <w:color w:val="auto"/>
              </w:rPr>
              <w:t>OBLIGATIONS OF MERGER SUB</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9020" w:type="dxa"/>
            <w:vAlign w:val="bottom"/>
          </w:tcPr>
          <w:p>
            <w:pPr>
              <w:ind w:left="60"/>
              <w:spacing w:after="0"/>
              <w:rPr>
                <w:sz w:val="20"/>
                <w:szCs w:val="20"/>
                <w:color w:val="auto"/>
              </w:rPr>
            </w:pPr>
            <w:r>
              <w:rPr>
                <w:rFonts w:ascii="Arial" w:cs="Arial" w:eastAsia="Arial" w:hAnsi="Arial"/>
                <w:sz w:val="18"/>
                <w:szCs w:val="18"/>
                <w:color w:val="auto"/>
              </w:rPr>
              <w:t>EMPLOYEE MATTERS</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9020" w:type="dxa"/>
            <w:vAlign w:val="bottom"/>
          </w:tcPr>
          <w:p>
            <w:pPr>
              <w:ind w:left="60"/>
              <w:spacing w:after="0"/>
              <w:rPr>
                <w:sz w:val="20"/>
                <w:szCs w:val="20"/>
                <w:color w:val="auto"/>
              </w:rPr>
            </w:pPr>
            <w:r>
              <w:rPr>
                <w:rFonts w:ascii="Arial" w:cs="Arial" w:eastAsia="Arial" w:hAnsi="Arial"/>
                <w:sz w:val="18"/>
                <w:szCs w:val="18"/>
                <w:color w:val="auto"/>
              </w:rPr>
              <w:t>RULE 16B-3</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9020" w:type="dxa"/>
            <w:vAlign w:val="bottom"/>
          </w:tcPr>
          <w:p>
            <w:pPr>
              <w:ind w:left="60"/>
              <w:spacing w:after="0"/>
              <w:rPr>
                <w:sz w:val="20"/>
                <w:szCs w:val="20"/>
                <w:color w:val="auto"/>
              </w:rPr>
            </w:pPr>
            <w:r>
              <w:rPr>
                <w:rFonts w:ascii="Arial" w:cs="Arial" w:eastAsia="Arial" w:hAnsi="Arial"/>
                <w:sz w:val="18"/>
                <w:szCs w:val="18"/>
                <w:color w:val="auto"/>
              </w:rPr>
              <w:t>STOCKHOLDER LITIGATION</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6.10.</w:t>
            </w:r>
          </w:p>
        </w:tc>
        <w:tc>
          <w:tcPr>
            <w:tcW w:w="9020" w:type="dxa"/>
            <w:vAlign w:val="bottom"/>
          </w:tcPr>
          <w:p>
            <w:pPr>
              <w:ind w:left="60"/>
              <w:spacing w:after="0"/>
              <w:rPr>
                <w:sz w:val="20"/>
                <w:szCs w:val="20"/>
                <w:color w:val="auto"/>
              </w:rPr>
            </w:pPr>
            <w:r>
              <w:rPr>
                <w:rFonts w:ascii="Arial" w:cs="Arial" w:eastAsia="Arial" w:hAnsi="Arial"/>
                <w:sz w:val="18"/>
                <w:szCs w:val="18"/>
                <w:color w:val="auto"/>
              </w:rPr>
              <w:t>DELISTING</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6.11.</w:t>
            </w:r>
          </w:p>
        </w:tc>
        <w:tc>
          <w:tcPr>
            <w:tcW w:w="9020" w:type="dxa"/>
            <w:vAlign w:val="bottom"/>
          </w:tcPr>
          <w:p>
            <w:pPr>
              <w:ind w:left="60"/>
              <w:spacing w:after="0"/>
              <w:rPr>
                <w:sz w:val="20"/>
                <w:szCs w:val="20"/>
                <w:color w:val="auto"/>
              </w:rPr>
            </w:pPr>
            <w:r>
              <w:rPr>
                <w:rFonts w:ascii="Arial" w:cs="Arial" w:eastAsia="Arial" w:hAnsi="Arial"/>
                <w:sz w:val="18"/>
                <w:szCs w:val="18"/>
                <w:color w:val="auto"/>
              </w:rPr>
              <w:t>DIRECTOR RESIGNATIONS</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6.12.</w:t>
            </w:r>
          </w:p>
        </w:tc>
        <w:tc>
          <w:tcPr>
            <w:tcW w:w="9020" w:type="dxa"/>
            <w:vAlign w:val="bottom"/>
          </w:tcPr>
          <w:p>
            <w:pPr>
              <w:ind w:left="60"/>
              <w:spacing w:after="0"/>
              <w:rPr>
                <w:sz w:val="20"/>
                <w:szCs w:val="20"/>
                <w:color w:val="auto"/>
              </w:rPr>
            </w:pPr>
            <w:r>
              <w:rPr>
                <w:rFonts w:ascii="Arial" w:cs="Arial" w:eastAsia="Arial" w:hAnsi="Arial"/>
                <w:sz w:val="18"/>
                <w:szCs w:val="18"/>
                <w:color w:val="auto"/>
              </w:rPr>
              <w:t>STOCK EXCHANGE LISTING</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6.13.</w:t>
            </w:r>
          </w:p>
        </w:tc>
        <w:tc>
          <w:tcPr>
            <w:tcW w:w="9020" w:type="dxa"/>
            <w:vAlign w:val="bottom"/>
          </w:tcPr>
          <w:p>
            <w:pPr>
              <w:ind w:left="60"/>
              <w:spacing w:after="0"/>
              <w:rPr>
                <w:sz w:val="20"/>
                <w:szCs w:val="20"/>
                <w:color w:val="auto"/>
              </w:rPr>
            </w:pPr>
            <w:r>
              <w:rPr>
                <w:rFonts w:ascii="Arial" w:cs="Arial" w:eastAsia="Arial" w:hAnsi="Arial"/>
                <w:sz w:val="18"/>
                <w:szCs w:val="18"/>
                <w:color w:val="auto"/>
              </w:rPr>
              <w:t>14D-10 MATTERS</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4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w w:val="94"/>
              </w:rPr>
              <w:t>SECTION 6.14.</w:t>
            </w:r>
          </w:p>
        </w:tc>
        <w:tc>
          <w:tcPr>
            <w:tcW w:w="5640" w:type="dxa"/>
            <w:vAlign w:val="bottom"/>
          </w:tcPr>
          <w:p>
            <w:pPr>
              <w:ind w:left="60"/>
              <w:spacing w:after="0"/>
              <w:rPr>
                <w:sz w:val="20"/>
                <w:szCs w:val="20"/>
                <w:color w:val="auto"/>
              </w:rPr>
            </w:pPr>
            <w:r>
              <w:rPr>
                <w:rFonts w:ascii="Arial" w:cs="Arial" w:eastAsia="Arial" w:hAnsi="Arial"/>
                <w:sz w:val="18"/>
                <w:szCs w:val="18"/>
                <w:color w:val="auto"/>
              </w:rPr>
              <w:t>CERTAIN TAX MATTERS</w:t>
            </w:r>
          </w:p>
        </w:tc>
        <w:tc>
          <w:tcPr>
            <w:tcW w:w="3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w w:val="94"/>
              </w:rPr>
              <w:t>SECTION 6.15.</w:t>
            </w:r>
          </w:p>
        </w:tc>
        <w:tc>
          <w:tcPr>
            <w:tcW w:w="5640" w:type="dxa"/>
            <w:vAlign w:val="bottom"/>
          </w:tcPr>
          <w:p>
            <w:pPr>
              <w:ind w:left="60"/>
              <w:spacing w:after="0"/>
              <w:rPr>
                <w:sz w:val="20"/>
                <w:szCs w:val="20"/>
                <w:color w:val="auto"/>
              </w:rPr>
            </w:pPr>
            <w:r>
              <w:rPr>
                <w:rFonts w:ascii="Arial" w:cs="Arial" w:eastAsia="Arial" w:hAnsi="Arial"/>
                <w:sz w:val="18"/>
                <w:szCs w:val="18"/>
                <w:color w:val="auto"/>
              </w:rPr>
              <w:t>INDEBTEDNESS.</w:t>
            </w:r>
          </w:p>
        </w:tc>
        <w:tc>
          <w:tcPr>
            <w:tcW w:w="37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90"/>
        </w:trPr>
        <w:tc>
          <w:tcPr>
            <w:tcW w:w="1160" w:type="dxa"/>
            <w:vAlign w:val="bottom"/>
          </w:tcPr>
          <w:p>
            <w:pPr>
              <w:spacing w:after="0"/>
              <w:rPr>
                <w:sz w:val="20"/>
                <w:szCs w:val="20"/>
                <w:color w:val="auto"/>
              </w:rPr>
            </w:pPr>
            <w:r>
              <w:rPr>
                <w:rFonts w:ascii="Arial" w:cs="Arial" w:eastAsia="Arial" w:hAnsi="Arial"/>
                <w:sz w:val="18"/>
                <w:szCs w:val="18"/>
                <w:color w:val="auto"/>
              </w:rPr>
              <w:t>ARTICLE VII</w:t>
            </w:r>
          </w:p>
        </w:tc>
        <w:tc>
          <w:tcPr>
            <w:tcW w:w="8020" w:type="dxa"/>
            <w:vAlign w:val="bottom"/>
            <w:gridSpan w:val="2"/>
          </w:tcPr>
          <w:p>
            <w:pPr>
              <w:ind w:left="60"/>
              <w:spacing w:after="0"/>
              <w:rPr>
                <w:sz w:val="20"/>
                <w:szCs w:val="20"/>
                <w:color w:val="auto"/>
              </w:rPr>
            </w:pPr>
            <w:r>
              <w:rPr>
                <w:rFonts w:ascii="Arial" w:cs="Arial" w:eastAsia="Arial" w:hAnsi="Arial"/>
                <w:sz w:val="18"/>
                <w:szCs w:val="18"/>
                <w:color w:val="auto"/>
              </w:rPr>
              <w:t>CONDITIONS TO CONSUMMATION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7.1.</w:t>
            </w:r>
          </w:p>
        </w:tc>
        <w:tc>
          <w:tcPr>
            <w:tcW w:w="7620" w:type="dxa"/>
            <w:vAlign w:val="bottom"/>
          </w:tcPr>
          <w:p>
            <w:pPr>
              <w:ind w:left="60"/>
              <w:spacing w:after="0"/>
              <w:rPr>
                <w:sz w:val="20"/>
                <w:szCs w:val="20"/>
                <w:color w:val="auto"/>
              </w:rPr>
            </w:pPr>
            <w:r>
              <w:rPr>
                <w:rFonts w:ascii="Arial" w:cs="Arial" w:eastAsia="Arial" w:hAnsi="Arial"/>
                <w:sz w:val="18"/>
                <w:szCs w:val="18"/>
                <w:color w:val="auto"/>
              </w:rPr>
              <w:t>CONDITIONS TO EACH PARTY’S OBLIGATIONS TO EFFECT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7.2.</w:t>
            </w:r>
          </w:p>
        </w:tc>
        <w:tc>
          <w:tcPr>
            <w:tcW w:w="7620" w:type="dxa"/>
            <w:vAlign w:val="bottom"/>
          </w:tcPr>
          <w:p>
            <w:pPr>
              <w:ind w:left="60"/>
              <w:spacing w:after="0"/>
              <w:rPr>
                <w:sz w:val="20"/>
                <w:szCs w:val="20"/>
                <w:color w:val="auto"/>
              </w:rPr>
            </w:pPr>
            <w:r>
              <w:rPr>
                <w:rFonts w:ascii="Arial" w:cs="Arial" w:eastAsia="Arial" w:hAnsi="Arial"/>
                <w:sz w:val="18"/>
                <w:szCs w:val="18"/>
                <w:color w:val="auto"/>
              </w:rPr>
              <w:t>CONDITIONS TO OBLIGATIONS OF PARENT</w:t>
            </w: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7.3.</w:t>
            </w:r>
          </w:p>
        </w:tc>
        <w:tc>
          <w:tcPr>
            <w:tcW w:w="7620" w:type="dxa"/>
            <w:vAlign w:val="bottom"/>
          </w:tcPr>
          <w:p>
            <w:pPr>
              <w:ind w:left="60"/>
              <w:spacing w:after="0"/>
              <w:rPr>
                <w:sz w:val="20"/>
                <w:szCs w:val="20"/>
                <w:color w:val="auto"/>
              </w:rPr>
            </w:pPr>
            <w:r>
              <w:rPr>
                <w:rFonts w:ascii="Arial" w:cs="Arial" w:eastAsia="Arial" w:hAnsi="Arial"/>
                <w:sz w:val="18"/>
                <w:szCs w:val="18"/>
                <w:color w:val="auto"/>
              </w:rPr>
              <w:t>CONDITIONS TO OBLIGATIONS OF THE COMPANY</w:t>
            </w:r>
          </w:p>
        </w:tc>
        <w:tc>
          <w:tcPr>
            <w:tcW w:w="1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ARTICLE VIII</w:t>
            </w:r>
          </w:p>
        </w:tc>
        <w:tc>
          <w:tcPr>
            <w:tcW w:w="8020" w:type="dxa"/>
            <w:vAlign w:val="bottom"/>
            <w:gridSpan w:val="2"/>
          </w:tcPr>
          <w:p>
            <w:pPr>
              <w:ind w:left="80"/>
              <w:spacing w:after="0"/>
              <w:rPr>
                <w:sz w:val="20"/>
                <w:szCs w:val="20"/>
                <w:color w:val="auto"/>
              </w:rPr>
            </w:pPr>
            <w:r>
              <w:rPr>
                <w:rFonts w:ascii="Arial" w:cs="Arial" w:eastAsia="Arial" w:hAnsi="Arial"/>
                <w:sz w:val="18"/>
                <w:szCs w:val="18"/>
                <w:color w:val="auto"/>
              </w:rPr>
              <w:t>TERMINATION</w:t>
            </w:r>
          </w:p>
        </w:tc>
        <w:tc>
          <w:tcPr>
            <w:tcW w:w="1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8.1.</w:t>
            </w:r>
          </w:p>
        </w:tc>
        <w:tc>
          <w:tcPr>
            <w:tcW w:w="762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1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8.2.</w:t>
            </w:r>
          </w:p>
        </w:tc>
        <w:tc>
          <w:tcPr>
            <w:tcW w:w="762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1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ARTICLE IX</w:t>
            </w:r>
          </w:p>
        </w:tc>
        <w:tc>
          <w:tcPr>
            <w:tcW w:w="8020" w:type="dxa"/>
            <w:vAlign w:val="bottom"/>
            <w:gridSpan w:val="2"/>
          </w:tcPr>
          <w:p>
            <w:pPr>
              <w:ind w:left="80"/>
              <w:spacing w:after="0"/>
              <w:rPr>
                <w:sz w:val="20"/>
                <w:szCs w:val="20"/>
                <w:color w:val="auto"/>
              </w:rPr>
            </w:pPr>
            <w:r>
              <w:rPr>
                <w:rFonts w:ascii="Arial" w:cs="Arial" w:eastAsia="Arial" w:hAnsi="Arial"/>
                <w:sz w:val="18"/>
                <w:szCs w:val="18"/>
                <w:color w:val="auto"/>
              </w:rPr>
              <w:t>MISCELLANEOUS</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9.1.</w:t>
            </w:r>
          </w:p>
        </w:tc>
        <w:tc>
          <w:tcPr>
            <w:tcW w:w="7620" w:type="dxa"/>
            <w:vAlign w:val="bottom"/>
          </w:tcPr>
          <w:p>
            <w:pPr>
              <w:ind w:left="60"/>
              <w:spacing w:after="0"/>
              <w:rPr>
                <w:sz w:val="20"/>
                <w:szCs w:val="20"/>
                <w:color w:val="auto"/>
              </w:rPr>
            </w:pPr>
            <w:r>
              <w:rPr>
                <w:rFonts w:ascii="Arial" w:cs="Arial" w:eastAsia="Arial" w:hAnsi="Arial"/>
                <w:sz w:val="18"/>
                <w:szCs w:val="18"/>
                <w:color w:val="auto"/>
              </w:rPr>
              <w:t>AMENDMENT AND MODIFICATION; WAIVER</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9.2.</w:t>
            </w:r>
          </w:p>
        </w:tc>
        <w:tc>
          <w:tcPr>
            <w:tcW w:w="7620" w:type="dxa"/>
            <w:vAlign w:val="bottom"/>
          </w:tcPr>
          <w:p>
            <w:pPr>
              <w:ind w:left="60"/>
              <w:spacing w:after="0"/>
              <w:rPr>
                <w:sz w:val="20"/>
                <w:szCs w:val="20"/>
                <w:color w:val="auto"/>
              </w:rPr>
            </w:pPr>
            <w:r>
              <w:rPr>
                <w:rFonts w:ascii="Arial" w:cs="Arial" w:eastAsia="Arial" w:hAnsi="Arial"/>
                <w:sz w:val="18"/>
                <w:szCs w:val="18"/>
                <w:color w:val="auto"/>
              </w:rPr>
              <w:t>NON-SURVIVAL OF REPRESENTATIONS AND WARRANTIES</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9.3.</w:t>
            </w:r>
          </w:p>
        </w:tc>
        <w:tc>
          <w:tcPr>
            <w:tcW w:w="7620" w:type="dxa"/>
            <w:vAlign w:val="bottom"/>
          </w:tcPr>
          <w:p>
            <w:pPr>
              <w:ind w:left="60"/>
              <w:spacing w:after="0"/>
              <w:rPr>
                <w:sz w:val="20"/>
                <w:szCs w:val="20"/>
                <w:color w:val="auto"/>
              </w:rPr>
            </w:pPr>
            <w:r>
              <w:rPr>
                <w:rFonts w:ascii="Arial" w:cs="Arial" w:eastAsia="Arial" w:hAnsi="Arial"/>
                <w:sz w:val="18"/>
                <w:szCs w:val="18"/>
                <w:color w:val="auto"/>
              </w:rPr>
              <w:t>EXPENSES</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9.4.</w:t>
            </w:r>
          </w:p>
        </w:tc>
        <w:tc>
          <w:tcPr>
            <w:tcW w:w="7620" w:type="dxa"/>
            <w:vAlign w:val="bottom"/>
          </w:tcPr>
          <w:p>
            <w:pPr>
              <w:ind w:left="60"/>
              <w:spacing w:after="0"/>
              <w:rPr>
                <w:sz w:val="20"/>
                <w:szCs w:val="20"/>
                <w:color w:val="auto"/>
              </w:rPr>
            </w:pPr>
            <w:r>
              <w:rPr>
                <w:rFonts w:ascii="Arial" w:cs="Arial" w:eastAsia="Arial" w:hAnsi="Arial"/>
                <w:sz w:val="18"/>
                <w:szCs w:val="18"/>
                <w:color w:val="auto"/>
              </w:rPr>
              <w:t>NOTICES</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9.5.</w:t>
            </w:r>
          </w:p>
        </w:tc>
        <w:tc>
          <w:tcPr>
            <w:tcW w:w="762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1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9.6.</w:t>
            </w:r>
          </w:p>
        </w:tc>
        <w:tc>
          <w:tcPr>
            <w:tcW w:w="76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9.7.</w:t>
            </w:r>
          </w:p>
        </w:tc>
        <w:tc>
          <w:tcPr>
            <w:tcW w:w="7620" w:type="dxa"/>
            <w:vAlign w:val="bottom"/>
          </w:tcPr>
          <w:p>
            <w:pPr>
              <w:ind w:left="60"/>
              <w:spacing w:after="0"/>
              <w:rPr>
                <w:sz w:val="20"/>
                <w:szCs w:val="20"/>
                <w:color w:val="auto"/>
              </w:rPr>
            </w:pPr>
            <w:r>
              <w:rPr>
                <w:rFonts w:ascii="Arial" w:cs="Arial" w:eastAsia="Arial" w:hAnsi="Arial"/>
                <w:sz w:val="18"/>
                <w:szCs w:val="18"/>
                <w:color w:val="auto"/>
              </w:rPr>
              <w:t>ENTIRE AGREEMENT; THIRD-PARTY BENEFICIARIES</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9.8.</w:t>
            </w:r>
          </w:p>
        </w:tc>
        <w:tc>
          <w:tcPr>
            <w:tcW w:w="76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9.9.</w:t>
            </w:r>
          </w:p>
        </w:tc>
        <w:tc>
          <w:tcPr>
            <w:tcW w:w="7620" w:type="dxa"/>
            <w:vAlign w:val="bottom"/>
          </w:tcPr>
          <w:p>
            <w:pPr>
              <w:ind w:left="60"/>
              <w:spacing w:after="0"/>
              <w:rPr>
                <w:sz w:val="20"/>
                <w:szCs w:val="20"/>
                <w:color w:val="auto"/>
              </w:rPr>
            </w:pPr>
            <w:r>
              <w:rPr>
                <w:rFonts w:ascii="Arial" w:cs="Arial" w:eastAsia="Arial" w:hAnsi="Arial"/>
                <w:sz w:val="18"/>
                <w:szCs w:val="18"/>
                <w:color w:val="auto"/>
              </w:rPr>
              <w:t>GOVERNING LAW; JURISDICTION</w:t>
            </w: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9.10.</w:t>
            </w:r>
          </w:p>
        </w:tc>
        <w:tc>
          <w:tcPr>
            <w:tcW w:w="762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9.11.</w:t>
            </w:r>
          </w:p>
        </w:tc>
        <w:tc>
          <w:tcPr>
            <w:tcW w:w="762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9.12.</w:t>
            </w:r>
          </w:p>
        </w:tc>
        <w:tc>
          <w:tcPr>
            <w:tcW w:w="7620" w:type="dxa"/>
            <w:vAlign w:val="bottom"/>
          </w:tcPr>
          <w:p>
            <w:pPr>
              <w:ind w:left="60"/>
              <w:spacing w:after="0"/>
              <w:rPr>
                <w:sz w:val="20"/>
                <w:szCs w:val="20"/>
                <w:color w:val="auto"/>
              </w:rPr>
            </w:pPr>
            <w:r>
              <w:rPr>
                <w:rFonts w:ascii="Arial" w:cs="Arial" w:eastAsia="Arial" w:hAnsi="Arial"/>
                <w:sz w:val="18"/>
                <w:szCs w:val="18"/>
                <w:color w:val="auto"/>
              </w:rPr>
              <w:t>ENFORCEMENT; REMEDIES</w:t>
            </w:r>
          </w:p>
        </w:tc>
        <w:tc>
          <w:tcPr>
            <w:tcW w:w="178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ANNEX A Definitions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0" w:right="49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July 16, 2021, is by and among Zoom Video Communications,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Summer Merger Sub, Inc., a Delaware corporation and a direct wholly owned Subsidiary of Parent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w:t>
      </w:r>
      <w:r>
        <w:rPr>
          <w:rFonts w:ascii="Arial" w:cs="Arial" w:eastAsia="Arial" w:hAnsi="Arial"/>
          <w:sz w:val="17"/>
          <w:szCs w:val="17"/>
          <w:color w:val="auto"/>
        </w:rPr>
        <w:t>”), and Five9,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All capitalized terms used in this Agreement shall have the meanings ascribed to such terms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as otherwise defined elsewhere in this Agreement, unless the context clearly provides otherwise. Parent, Merger Sub and the Company are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WHEREAS, it is proposed that Merger Sub shall merge with and into the Company, with the Company surviving as a direct, wholly owned Subsidiary of Parent (the “</w:t>
      </w:r>
      <w:r>
        <w:rPr>
          <w:rFonts w:ascii="Arial" w:cs="Arial" w:eastAsia="Arial" w:hAnsi="Arial"/>
          <w:sz w:val="17"/>
          <w:szCs w:val="17"/>
          <w:u w:val="single" w:color="auto"/>
          <w:color w:val="auto"/>
        </w:rPr>
        <w:t>Merger</w:t>
      </w:r>
      <w:r>
        <w:rPr>
          <w:rFonts w:ascii="Arial" w:cs="Arial" w:eastAsia="Arial" w:hAnsi="Arial"/>
          <w:sz w:val="17"/>
          <w:szCs w:val="17"/>
          <w:color w:val="auto"/>
        </w:rPr>
        <w:t>”) upon the terms and subject to the conditions set forth in this Agreement and in accordance with the applicable provisions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pursuant to which each share of common stock, $0.001 par value per share, of the Company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in each case, issued and outstanding immediately prior to the Effective Time, other than any Cancelled Shares or Converted Shares, will be converted into the right to receive the Merger Consideration upon the terms and subject to the conditions set forth in this Agreement and in accordance with the DGCL;</w:t>
      </w:r>
    </w:p>
    <w:p>
      <w:pPr>
        <w:spacing w:after="0" w:line="178" w:lineRule="exact"/>
        <w:rPr>
          <w:sz w:val="20"/>
          <w:szCs w:val="20"/>
          <w:color w:val="auto"/>
        </w:rPr>
      </w:pPr>
    </w:p>
    <w:p>
      <w:pPr>
        <w:ind w:right="300" w:firstLine="440"/>
        <w:spacing w:after="0" w:line="311" w:lineRule="auto"/>
        <w:rPr>
          <w:sz w:val="20"/>
          <w:szCs w:val="20"/>
          <w:color w:val="auto"/>
        </w:rPr>
      </w:pPr>
      <w:r>
        <w:rPr>
          <w:rFonts w:ascii="Arial" w:cs="Arial" w:eastAsia="Arial" w:hAnsi="Arial"/>
          <w:sz w:val="16"/>
          <w:szCs w:val="16"/>
          <w:color w:val="auto"/>
        </w:rPr>
        <w:t>WHEREAS, the Parties intend that, for U.S. federal income tax purposes, the Merger will qualify as a “reorganization” within the meaning of Section 368(a)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that this Agreement be, and is hereby adopted as, a “plan of reorganization” within the meaning of Treasury Regulations Section 1.368-2(g) and for purposes of Sections 354 and 361 of the Code;</w:t>
      </w:r>
    </w:p>
    <w:p>
      <w:pPr>
        <w:spacing w:after="0" w:line="149"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Company Board of Directors</w:t>
      </w:r>
      <w:r>
        <w:rPr>
          <w:rFonts w:ascii="Arial" w:cs="Arial" w:eastAsia="Arial" w:hAnsi="Arial"/>
          <w:sz w:val="17"/>
          <w:szCs w:val="17"/>
          <w:color w:val="auto"/>
        </w:rPr>
        <w:t>”) unanimously (i) determined that the terms of this Agreement and the transactions contemplated hereby (the “</w:t>
      </w:r>
      <w:r>
        <w:rPr>
          <w:rFonts w:ascii="Arial" w:cs="Arial" w:eastAsia="Arial" w:hAnsi="Arial"/>
          <w:sz w:val="17"/>
          <w:szCs w:val="17"/>
          <w:u w:val="single" w:color="auto"/>
          <w:color w:val="auto"/>
        </w:rPr>
        <w:t>Transactions</w:t>
      </w:r>
      <w:r>
        <w:rPr>
          <w:rFonts w:ascii="Arial" w:cs="Arial" w:eastAsia="Arial" w:hAnsi="Arial"/>
          <w:sz w:val="17"/>
          <w:szCs w:val="17"/>
          <w:color w:val="auto"/>
        </w:rPr>
        <w:t>”), including the Merger and the issuance of shares of Parent Class A Common Stock in connection therewith, are fair to, and in the best interests of, the Company and its stockholders (the “</w:t>
      </w:r>
      <w:r>
        <w:rPr>
          <w:rFonts w:ascii="Arial" w:cs="Arial" w:eastAsia="Arial" w:hAnsi="Arial"/>
          <w:sz w:val="17"/>
          <w:szCs w:val="17"/>
          <w:u w:val="single" w:color="auto"/>
          <w:color w:val="auto"/>
        </w:rPr>
        <w:t>Company Stockholders</w:t>
      </w:r>
      <w:r>
        <w:rPr>
          <w:rFonts w:ascii="Arial" w:cs="Arial" w:eastAsia="Arial" w:hAnsi="Arial"/>
          <w:sz w:val="17"/>
          <w:szCs w:val="17"/>
          <w:color w:val="auto"/>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subject to the terms and conditions set forth in this Agreement, resolved to recommend that the Company Stockholders approve the Transactions, including the Merger, and adopt this Agreement (the “</w:t>
      </w:r>
      <w:r>
        <w:rPr>
          <w:rFonts w:ascii="Arial" w:cs="Arial" w:eastAsia="Arial" w:hAnsi="Arial"/>
          <w:sz w:val="17"/>
          <w:szCs w:val="17"/>
          <w:u w:val="single" w:color="auto"/>
          <w:color w:val="auto"/>
        </w:rPr>
        <w:t>Company Board Recommendation</w:t>
      </w:r>
      <w:r>
        <w:rPr>
          <w:rFonts w:ascii="Arial" w:cs="Arial" w:eastAsia="Arial" w:hAnsi="Arial"/>
          <w:sz w:val="17"/>
          <w:szCs w:val="17"/>
          <w:color w:val="auto"/>
        </w:rPr>
        <w:t>”);</w:t>
      </w:r>
    </w:p>
    <w:p>
      <w:pPr>
        <w:spacing w:after="0" w:line="178"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WHEREAS, the board of directors of each of Parent and Merger Sub, and the sole stockholder of Merger Sub, have approved this Agreement and determined that this Agreement and the Transactions, including the Merger and the issuance of Parent Class A Common Stock in connection therewith, are advisable and fair to, and in the best interests of, Parent and Merger Sub and their respective stockholder(s); and</w:t>
      </w:r>
    </w:p>
    <w:p>
      <w:pPr>
        <w:sectPr>
          <w:pgSz w:w="11900" w:h="16838" w:orient="portrait"/>
          <w:cols w:equalWidth="0" w:num="1">
            <w:col w:w="10940"/>
          </w:cols>
          <w:pgMar w:left="440" w:top="270" w:right="519" w:bottom="1440" w:gutter="0" w:footer="0" w:header="0"/>
        </w:sectPr>
      </w:pPr>
    </w:p>
    <w:bookmarkStart w:id="12" w:name="page13"/>
    <w:bookmarkEnd w:id="12"/>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Parties desire to make certain representations, warranties, covenants and agreements in connection with the Merger and also prescribe various terms of and conditions to the Transactions, including the Merger.</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The Merger</w:t>
      </w:r>
      <w:r>
        <w:rPr>
          <w:rFonts w:ascii="Arial" w:cs="Arial" w:eastAsia="Arial" w:hAnsi="Arial"/>
          <w:sz w:val="17"/>
          <w:szCs w:val="17"/>
          <w:color w:val="auto"/>
        </w:rPr>
        <w:t>. Upon the terms and subject to the satisfaction or waiver of the conditions set forth in this Agreement, and in accordance with the DGCL, at the Effective Time, Merger Sub shall be merged with and into the Company, whereupon the separate existence of Merger Sub will cease, with the Company surviving the Merger (the Company, as the surviving entity in the Merger, sometimes being referred to herein as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such that following the Merger, the Surviving Company will be a direct, wholly owned Subsidiary of Parent.</w:t>
      </w:r>
    </w:p>
    <w:p>
      <w:pPr>
        <w:spacing w:after="0" w:line="17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The Closing</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by electronic exchange of deliverables, as promptly as practicable following, and in any case no later than the third (3</w:t>
      </w:r>
      <w:r>
        <w:rPr>
          <w:rFonts w:ascii="Arial" w:cs="Arial" w:eastAsia="Arial" w:hAnsi="Arial"/>
          <w:sz w:val="13"/>
          <w:szCs w:val="13"/>
          <w:color w:val="auto"/>
        </w:rPr>
        <w:t>rd</w:t>
      </w:r>
      <w:r>
        <w:rPr>
          <w:rFonts w:ascii="Arial" w:cs="Arial" w:eastAsia="Arial" w:hAnsi="Arial"/>
          <w:sz w:val="16"/>
          <w:szCs w:val="16"/>
          <w:color w:val="auto"/>
        </w:rPr>
        <w:t xml:space="preserve">) Business Day after the satisfaction or, to the extent permitted by applicable Law, waiver of the last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be satisfied or waived (other than any such conditions that by their nature are to be satisfied at the Closing, but subject to the satisfaction or, to the extent permitted by applicable Law, waiver of such conditions at the Closing), unless another date or place is agreed to in writing by the Company and Parent. The date on which the Closing actually takes place is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6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Effective Time</w:t>
      </w:r>
      <w:r>
        <w:rPr>
          <w:rFonts w:ascii="Arial" w:cs="Arial" w:eastAsia="Arial" w:hAnsi="Arial"/>
          <w:sz w:val="18"/>
          <w:szCs w:val="18"/>
          <w:color w:val="auto"/>
        </w:rPr>
        <w:t>. On the Closing Date, the Parties shall cause a certificate of merger with respect to the Merger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to be duly executed and filed with the Secretary of State of the State of Delaware as provided under the DGCL and make any other filings, recordings or publications required to be made by the Company or Merger Sub under the DGCL in connection with the Merger. The Merger shall become effective at such time as the Certificate of Merger is duly filed with the Secretary of State of the State of Delaware or on such other date and time as shall be agreed to by the Company and Parent and specified in the Certificate of Merger (such date and time being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92" w:lineRule="exact"/>
        <w:rPr>
          <w:sz w:val="20"/>
          <w:szCs w:val="20"/>
          <w:color w:val="auto"/>
        </w:rPr>
      </w:pPr>
    </w:p>
    <w:p>
      <w:pPr>
        <w:ind w:right="540" w:firstLine="440"/>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Governing Documents</w:t>
      </w:r>
      <w:r>
        <w:rPr>
          <w:rFonts w:ascii="Arial" w:cs="Arial" w:eastAsia="Arial" w:hAnsi="Arial"/>
          <w:sz w:val="17"/>
          <w:szCs w:val="17"/>
          <w:color w:val="auto"/>
        </w:rPr>
        <w:t xml:space="preserve">. Without limiting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at the Effective Time, the certificate of incorporation and the bylaws of Merger Sub shall be the certificate of incorporation and bylaws, respectively, of the Surviving Company until thereafter changed or amended as provided therein or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name of the Surviving Company shall be “Five9, Inc.”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3" w:name="page14"/>
    <w:bookmarkEnd w:id="13"/>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Arial" w:cs="Arial" w:eastAsia="Arial" w:hAnsi="Arial"/>
          <w:sz w:val="18"/>
          <w:szCs w:val="18"/>
          <w:u w:val="single" w:color="auto"/>
          <w:color w:val="auto"/>
        </w:rPr>
        <w:t>Officers and Directors of the Surviving Company</w:t>
      </w:r>
      <w:r>
        <w:rPr>
          <w:rFonts w:ascii="Arial" w:cs="Arial" w:eastAsia="Arial" w:hAnsi="Arial"/>
          <w:sz w:val="18"/>
          <w:szCs w:val="18"/>
          <w:color w:val="auto"/>
        </w:rPr>
        <w:t>. Unless otherwise determined by Parent prior to the Effective Time, the officers of Merger Sub immediately prior to the Effective Time, from and after the Effective Time, shall be the initial officers of the Surviving Company. The directors of Merger Sub immediately prior to the Effective Time, from and after the Effective Time, shall be the initial directors of the Surviving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TREATMENT OF SECURITIES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Treatment of Capital Stock</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8" w:lineRule="auto"/>
        <w:tabs>
          <w:tab w:leader="none" w:pos="1371"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Treatment of Company Common Stock</w:t>
      </w:r>
      <w:r>
        <w:rPr>
          <w:rFonts w:ascii="Arial" w:cs="Arial" w:eastAsia="Arial" w:hAnsi="Arial"/>
          <w:sz w:val="16"/>
          <w:szCs w:val="16"/>
          <w:color w:val="auto"/>
        </w:rPr>
        <w:t>. At the Effective Time, by virtue of the Merger and without any action on the part of the Parties or holders of any securities of the Company or of Merger Sub, subject to any applicable withholding Tax, each share of Company Common Stock issued and outstanding immediately prior to the Effective Time (other than any Cancelled Shares and any Converted Shares) shall be automatically converted into the right to receive 0.5533 shares of Class A common stock, par value $0.001 per share, of Parent (“</w:t>
      </w:r>
      <w:r>
        <w:rPr>
          <w:rFonts w:ascii="Arial" w:cs="Arial" w:eastAsia="Arial" w:hAnsi="Arial"/>
          <w:sz w:val="16"/>
          <w:szCs w:val="16"/>
          <w:u w:val="single" w:color="auto"/>
          <w:color w:val="auto"/>
        </w:rPr>
        <w:t>Parent 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From and after the Effective Time, all such shares of Company Common Stock shall no longer be outstanding and shall automatically be cancelled and shall cease to exist, and each applicable holder of such Company Common Stock shall cease to have any rights with respect thereto, except the right to receive the applicable portion of Merger Consideration therefor upon the surrender of such shares of Company Common Stock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including the right to receive,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cash in lieu of fractional shares of Parent Class A Common Stock, if any, into which such shares of Company Common Stock have been converted pursuant to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Fractional Share Consideration</w:t>
      </w:r>
      <w:r>
        <w:rPr>
          <w:rFonts w:ascii="Arial" w:cs="Arial" w:eastAsia="Arial" w:hAnsi="Arial"/>
          <w:sz w:val="16"/>
          <w:szCs w:val="16"/>
          <w:color w:val="auto"/>
        </w:rPr>
        <w:t xml:space="preserve">”), together with the amounts, if any, payable pursuant to </w:t>
      </w:r>
      <w:r>
        <w:rPr>
          <w:rFonts w:ascii="Arial" w:cs="Arial" w:eastAsia="Arial" w:hAnsi="Arial"/>
          <w:sz w:val="16"/>
          <w:szCs w:val="16"/>
          <w:u w:val="single" w:color="auto"/>
          <w:color w:val="auto"/>
        </w:rPr>
        <w:t>Section 2.2(f)</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right="60" w:firstLine="987"/>
        <w:spacing w:after="0" w:line="253" w:lineRule="auto"/>
        <w:tabs>
          <w:tab w:leader="none" w:pos="138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Certain Company Common Stock</w:t>
      </w:r>
      <w:r>
        <w:rPr>
          <w:rFonts w:ascii="Arial" w:cs="Arial" w:eastAsia="Arial" w:hAnsi="Arial"/>
          <w:sz w:val="18"/>
          <w:szCs w:val="18"/>
          <w:color w:val="auto"/>
        </w:rPr>
        <w:t>. At the Effective Time, each share of Company Common Stock issued and outstanding immediately prior to the Effective Time that is owned or held in treasury by the Company or is owned by Parent or Merger Sub shall be cancelled and shall cease to exist, and no consideration shall be delivered in exchange therefor (collectively, the “</w:t>
      </w:r>
      <w:r>
        <w:rPr>
          <w:rFonts w:ascii="Arial" w:cs="Arial" w:eastAsia="Arial" w:hAnsi="Arial"/>
          <w:sz w:val="18"/>
          <w:szCs w:val="18"/>
          <w:u w:val="single" w:color="auto"/>
          <w:color w:val="auto"/>
        </w:rPr>
        <w:t>Cancelled Shares</w:t>
      </w:r>
      <w:r>
        <w:rPr>
          <w:rFonts w:ascii="Arial" w:cs="Arial" w:eastAsia="Arial" w:hAnsi="Arial"/>
          <w:sz w:val="18"/>
          <w:szCs w:val="18"/>
          <w:color w:val="auto"/>
        </w:rPr>
        <w:t>”). At the Effective Time, each share of Company Common Stock issued and outstanding immediately prior to the Effective Time that is owned by any direct or indirect wholly owned Subsidiary of Parent (other than Merger Sub) or of the Company (the “</w:t>
      </w:r>
      <w:r>
        <w:rPr>
          <w:rFonts w:ascii="Arial" w:cs="Arial" w:eastAsia="Arial" w:hAnsi="Arial"/>
          <w:sz w:val="18"/>
          <w:szCs w:val="18"/>
          <w:u w:val="single" w:color="auto"/>
          <w:color w:val="auto"/>
        </w:rPr>
        <w:t>Converted Shares</w:t>
      </w:r>
      <w:r>
        <w:rPr>
          <w:rFonts w:ascii="Arial" w:cs="Arial" w:eastAsia="Arial" w:hAnsi="Arial"/>
          <w:sz w:val="18"/>
          <w:szCs w:val="18"/>
          <w:color w:val="auto"/>
        </w:rPr>
        <w:t>”) shall be converted into such number of shares of common stock of the Surviving Company (“</w:t>
      </w:r>
      <w:r>
        <w:rPr>
          <w:rFonts w:ascii="Arial" w:cs="Arial" w:eastAsia="Arial" w:hAnsi="Arial"/>
          <w:sz w:val="18"/>
          <w:szCs w:val="18"/>
          <w:u w:val="single" w:color="auto"/>
          <w:color w:val="auto"/>
        </w:rPr>
        <w:t>Surviving Company Stock</w:t>
      </w:r>
      <w:r>
        <w:rPr>
          <w:rFonts w:ascii="Arial" w:cs="Arial" w:eastAsia="Arial" w:hAnsi="Arial"/>
          <w:sz w:val="18"/>
          <w:szCs w:val="18"/>
          <w:color w:val="auto"/>
        </w:rPr>
        <w:t xml:space="preserve">”) equal to the product of (i) (x) the number of shares of Company Common Stock held by such Subsidiary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number of shares of Company Common Stock outstanding immediately prior to the Effective Time, and (ii) the total number of shares of Surviving Company Stock outstanding immediately after the consummation of the Merger.</w:t>
      </w:r>
    </w:p>
    <w:p>
      <w:pPr>
        <w:spacing w:after="0" w:line="196" w:lineRule="exact"/>
        <w:rPr>
          <w:rFonts w:ascii="Arial" w:cs="Arial" w:eastAsia="Arial" w:hAnsi="Arial"/>
          <w:sz w:val="18"/>
          <w:szCs w:val="18"/>
          <w:color w:val="auto"/>
        </w:rPr>
      </w:pPr>
    </w:p>
    <w:p>
      <w:pPr>
        <w:ind w:right="320" w:firstLine="987"/>
        <w:spacing w:after="0" w:line="263" w:lineRule="auto"/>
        <w:tabs>
          <w:tab w:leader="none" w:pos="137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Treatment of Merger Sub Shares</w:t>
      </w:r>
      <w:r>
        <w:rPr>
          <w:rFonts w:ascii="Arial" w:cs="Arial" w:eastAsia="Arial" w:hAnsi="Arial"/>
          <w:sz w:val="18"/>
          <w:szCs w:val="18"/>
          <w:color w:val="auto"/>
        </w:rPr>
        <w:t>. At the Effective Time, each issued and outstanding share of common stock, par value $0.01 per share, of Merger Sub (the “</w:t>
      </w:r>
      <w:r>
        <w:rPr>
          <w:rFonts w:ascii="Arial" w:cs="Arial" w:eastAsia="Arial" w:hAnsi="Arial"/>
          <w:sz w:val="18"/>
          <w:szCs w:val="18"/>
          <w:u w:val="single" w:color="auto"/>
          <w:color w:val="auto"/>
        </w:rPr>
        <w:t>Merger Sub Shares</w:t>
      </w:r>
      <w:r>
        <w:rPr>
          <w:rFonts w:ascii="Arial" w:cs="Arial" w:eastAsia="Arial" w:hAnsi="Arial"/>
          <w:sz w:val="18"/>
          <w:szCs w:val="18"/>
          <w:color w:val="auto"/>
        </w:rPr>
        <w:t>”) shall be automatically converted into and become one (1) fully paid and nonassessable share of Surviving Company Stock. From and after the Effective Time, all certificates representing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4" w:name="page15"/>
    <w:bookmarkEnd w:id="1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Sub Shares shall be deemed for all purposes to represent the number of shares of Surviving Company Stock into which they were converted in accordance with the immediately preceding sentence.</w:t>
      </w:r>
    </w:p>
    <w:p>
      <w:pPr>
        <w:spacing w:after="0" w:line="170" w:lineRule="exact"/>
        <w:rPr>
          <w:sz w:val="20"/>
          <w:szCs w:val="20"/>
          <w:color w:val="auto"/>
        </w:rPr>
      </w:pPr>
    </w:p>
    <w:p>
      <w:pPr>
        <w:ind w:right="160" w:firstLine="987"/>
        <w:spacing w:after="0" w:line="273" w:lineRule="auto"/>
        <w:tabs>
          <w:tab w:leader="none" w:pos="138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Adjustment to Merger Consideration</w:t>
      </w:r>
      <w:r>
        <w:rPr>
          <w:rFonts w:ascii="Arial" w:cs="Arial" w:eastAsia="Arial" w:hAnsi="Arial"/>
          <w:sz w:val="17"/>
          <w:szCs w:val="17"/>
          <w:color w:val="auto"/>
        </w:rPr>
        <w:t xml:space="preserve">. The Merger Consideration shall be adjusted appropriately, without duplication, to reflect the effect of any stock split, reverse stock split, stock dividend (including any dividend or 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shall be construed to permit the Company or Parent to take any action with respect to its securities that is prohibited by the terms of this Agreement.</w:t>
      </w:r>
    </w:p>
    <w:p>
      <w:pPr>
        <w:spacing w:after="0" w:line="286"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Payment for Securities; Surrender of Certificates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4" w:lineRule="auto"/>
        <w:tabs>
          <w:tab w:leader="none" w:pos="137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Exchange Fund</w:t>
      </w:r>
      <w:r>
        <w:rPr>
          <w:rFonts w:ascii="Arial" w:cs="Arial" w:eastAsia="Arial" w:hAnsi="Arial"/>
          <w:sz w:val="16"/>
          <w:szCs w:val="16"/>
          <w:color w:val="auto"/>
        </w:rPr>
        <w:t>. Prior to the Effective Time, Parent shall designate a bank or trust company reasonably acceptable to the Company to act as the exchange agent in connection with the Merger (the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evidence of Parent Class A Common Stock issuable in book-entry form equal to the aggregate Merger Consideration (excluding any Fractional Share Consideration) payable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(ii) cash in immediately available funds in an amount sufficient to pay the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under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(such evidence of book-entry shares of Parent Class A Common Stock and cash amounts, together with any dividends or other distributions with respect thereto,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in each case, for the sole benefit of the holders of Company Common Stock. In the event the Exchange Fund shall be insufficient to pay the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under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Parent shall promptly deposit, or cause to be deposited, additional funds with the Exchange Agent in an amount that is equal to the shortfall that is required to make such payment. Parent shall cause the Exchange Agent to make, and the Exchange Agent shall make, delivery of the Merger Consideration, including payment of the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amounts payable in respect of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out of the Exchange Fund in accordance with this Agreement. The Exchange Fund shall not be used for any purpose that is not expressly provided for in this Agreement. The cash portion of the Exchange Fund shall be invested by the Exchange Agent as reasonably directed by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investment of such cash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Certificates or Book-Entry Shares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Any interest and other income resulting from such investments shall be paid to Parent.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5" w:name="page16"/>
    <w:bookmarkEnd w:id="15"/>
    <w:p>
      <w:pPr>
        <w:ind w:left="1360" w:hanging="393"/>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Procedures for Surrender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1428"/>
        <w:spacing w:after="0" w:line="284" w:lineRule="auto"/>
        <w:tabs>
          <w:tab w:leader="none" w:pos="1762"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Company Common Stock Certificates</w:t>
      </w:r>
      <w:r>
        <w:rPr>
          <w:rFonts w:ascii="Arial" w:cs="Arial" w:eastAsia="Arial" w:hAnsi="Arial"/>
          <w:sz w:val="16"/>
          <w:szCs w:val="16"/>
          <w:color w:val="auto"/>
        </w:rPr>
        <w:t>. Promptly after the Effective Time, Parent shall cause the Exchange Agent to mail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of record of a certificate or certificates which immediately prior to the Effective Time represented outstanding shares of Company Common Stock (the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and whose shares of Company Common Stock were converted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into the right to receive the Merger Consideration (A) a letter of transmittal, which shall specify that delivery shall be effected, and risk of loss and title to the Certificates shall pass, only upon delivery of the Certificates (or affidavits of loss in lieu thereof and, if required by Parent, an indemnity bond) to the Exchange Agent and shall be in such form and have such other provisions as Parent may reasonably specify and (B) instructions for effecting the surrender of the Certificates (or affidavits of loss in lieu thereof and, if required by Parent, an indemnity bond) in exchange for payment of the Merger Consideration into which such shares of Company Common Stock have been converted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including any amount payable in respect of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Upon surrender of a Certificate (or an affidavit of loss in lieu thereof and, if required by Parent, an indemnity bond) for cancellation to the Exchange Agent or to such other agent or agents as may be appointed by Parent, together with such letter of transmittal duly completed and validly executed in accordance with the instructions thereto, and such other documents as may be required pursuant to such instructions, the holder of such Certificate shall be entitled to receive in exchange therefor the applicable Merger Consideration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including any Fractional Share Consideration that such holder has the right to receive pursuant to the provisions of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amounts that such holder has the right to receive in respect of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for each share of Company Common Stock formerly represented by such Certificate, and the Certificate (or affidavit of loss in lieu thereof and, if required by Parent, an indemnity bond) so surrendered shall be forthwith cancelled. The Exchange Agent shall accept such Certificates (or affidavits of loss in lieu thereof and, if required by Parent, an indemnity bond) upon compliance with such reasonable terms and conditions as the Exchange Agent may impose to effect an orderly exchange thereof in accordance with normal exchange practices. If payment of the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the Merger Consideration to a Person other than the registered holder of the Certificate surrendered or shall have established to the satisfaction of Parent that such Tax either has been paid or is not required to be paid.</w:t>
      </w:r>
    </w:p>
    <w:p>
      <w:pPr>
        <w:spacing w:after="0" w:line="176" w:lineRule="exact"/>
        <w:rPr>
          <w:rFonts w:ascii="Arial" w:cs="Arial" w:eastAsia="Arial" w:hAnsi="Arial"/>
          <w:sz w:val="16"/>
          <w:szCs w:val="16"/>
          <w:color w:val="auto"/>
        </w:rPr>
      </w:pPr>
    </w:p>
    <w:p>
      <w:pPr>
        <w:ind w:left="-20" w:right="120" w:firstLine="1428"/>
        <w:spacing w:after="0" w:line="259" w:lineRule="auto"/>
        <w:tabs>
          <w:tab w:leader="none" w:pos="1812"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Book-Entry Shares</w:t>
      </w:r>
      <w:r>
        <w:rPr>
          <w:rFonts w:ascii="Arial" w:cs="Arial" w:eastAsia="Arial" w:hAnsi="Arial"/>
          <w:sz w:val="18"/>
          <w:szCs w:val="18"/>
          <w:color w:val="auto"/>
        </w:rPr>
        <w:t>. Any holder of or non-certificated Company Common Stock represented by book-entry (“</w:t>
      </w:r>
      <w:r>
        <w:rPr>
          <w:rFonts w:ascii="Arial" w:cs="Arial" w:eastAsia="Arial" w:hAnsi="Arial"/>
          <w:sz w:val="18"/>
          <w:szCs w:val="18"/>
          <w:u w:val="single" w:color="auto"/>
          <w:color w:val="auto"/>
        </w:rPr>
        <w:t>Book-Entry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and whose shares of Company Common Stock were converted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into the right to receive the Merger Consideration shall not be required to deliver a Certificate or an executed letter of transmittal to the Exchange Agent to receive the Merger Consideration. In lieu thereof, each registered holder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16" w:name="page17"/>
    <w:bookmarkEnd w:id="16"/>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one or more Book-Entry Shares shall automatically upon the Effective Time be entitled to receive, and Parent shall cause the Exchange Agent to pay and deliver as promptly as reasonably practicable after the Effective Time the applicable Merger Consideration pursuant to the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any Fractional Share Consideration that such holder has the right to receive pursuant to the provisions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that such holder has the right to receive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for each share of Company Common Stock formerly represented by such Book-Entry Share, and the Book-Entry Share so exchanged shall be forthwith cancelled. Payment of the Merger Consideration with respect to Book-Entry Shares shall only be made to the Person in whose name such Book-Entry Shares are registered.</w:t>
      </w:r>
    </w:p>
    <w:p>
      <w:pPr>
        <w:spacing w:after="0" w:line="177" w:lineRule="exact"/>
        <w:rPr>
          <w:sz w:val="20"/>
          <w:szCs w:val="20"/>
          <w:color w:val="auto"/>
        </w:rPr>
      </w:pPr>
    </w:p>
    <w:p>
      <w:pPr>
        <w:ind w:right="360" w:firstLine="1428"/>
        <w:spacing w:after="0" w:line="308" w:lineRule="auto"/>
        <w:tabs>
          <w:tab w:leader="none" w:pos="1882"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No Interest</w:t>
      </w:r>
      <w:r>
        <w:rPr>
          <w:rFonts w:ascii="Arial" w:cs="Arial" w:eastAsia="Arial" w:hAnsi="Arial"/>
          <w:sz w:val="17"/>
          <w:szCs w:val="17"/>
          <w:color w:val="auto"/>
        </w:rPr>
        <w:t>. No interest shall be paid or accrue on any portion of the Merger Consideration payable upon surrender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Certificate (or affidavit of loss in lieu thereof in accordance with </w:t>
      </w:r>
      <w:r>
        <w:rPr>
          <w:rFonts w:ascii="Arial" w:cs="Arial" w:eastAsia="Arial" w:hAnsi="Arial"/>
          <w:sz w:val="17"/>
          <w:szCs w:val="17"/>
          <w:u w:val="single" w:color="auto"/>
          <w:color w:val="auto"/>
        </w:rPr>
        <w:t>Section 2.2(e)</w:t>
      </w:r>
      <w:r>
        <w:rPr>
          <w:rFonts w:ascii="Arial" w:cs="Arial" w:eastAsia="Arial" w:hAnsi="Arial"/>
          <w:sz w:val="17"/>
          <w:szCs w:val="17"/>
          <w:color w:val="auto"/>
        </w:rPr>
        <w:t>) or in respect of any Book-Entry Share.</w:t>
      </w:r>
    </w:p>
    <w:p>
      <w:pPr>
        <w:spacing w:after="0" w:line="146" w:lineRule="exact"/>
        <w:rPr>
          <w:rFonts w:ascii="Arial" w:cs="Arial" w:eastAsia="Arial" w:hAnsi="Arial"/>
          <w:sz w:val="17"/>
          <w:szCs w:val="17"/>
          <w:color w:val="auto"/>
        </w:rPr>
      </w:pPr>
    </w:p>
    <w:p>
      <w:pPr>
        <w:jc w:val="both"/>
        <w:ind w:right="260" w:firstLine="987"/>
        <w:spacing w:after="0" w:line="296" w:lineRule="auto"/>
        <w:tabs>
          <w:tab w:leader="none" w:pos="137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Transfer Books; No Further Ownership Rights in Company Common Stock</w:t>
      </w:r>
      <w:r>
        <w:rPr>
          <w:rFonts w:ascii="Arial" w:cs="Arial" w:eastAsia="Arial" w:hAnsi="Arial"/>
          <w:sz w:val="16"/>
          <w:szCs w:val="16"/>
          <w:color w:val="auto"/>
        </w:rPr>
        <w:t xml:space="preserve">. At the Effective Time, the stock transfer books of the Company shall be closed and thereafter there shall be no further registration of transfers of Company Common Stock on the records of the Company. Until surrendered as contemplated by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each Certificate and Book-Entry Share shall be deemed at any time after the Effective Time to represent only the right to receive the applicable Merger Consideration as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If, after the Effective Time, Certificates or Book-Entry Shares are presented to Parent for any reason, they shall be cancelled and exchanged as provided in this Agreement.</w:t>
      </w:r>
    </w:p>
    <w:p>
      <w:pPr>
        <w:spacing w:after="0" w:line="161" w:lineRule="exact"/>
        <w:rPr>
          <w:rFonts w:ascii="Arial" w:cs="Arial" w:eastAsia="Arial" w:hAnsi="Arial"/>
          <w:sz w:val="16"/>
          <w:szCs w:val="16"/>
          <w:color w:val="auto"/>
        </w:rPr>
      </w:pPr>
    </w:p>
    <w:p>
      <w:pPr>
        <w:ind w:firstLine="987"/>
        <w:spacing w:after="0" w:line="288" w:lineRule="auto"/>
        <w:tabs>
          <w:tab w:leader="none" w:pos="138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 No Liability</w:t>
      </w:r>
      <w:r>
        <w:rPr>
          <w:rFonts w:ascii="Arial" w:cs="Arial" w:eastAsia="Arial" w:hAnsi="Arial"/>
          <w:sz w:val="16"/>
          <w:szCs w:val="16"/>
          <w:color w:val="auto"/>
        </w:rPr>
        <w:t xml:space="preserve">. At any time following the first (1st) anniversary of the Effective Time, Parent shall be entitled to 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Certificates or Book-Entry Shares, and thereafter such holders shall be entitled to look only to Parent (subject to abandoned property, escheat or similar Laws) as general creditors thereof with respect to the applicable Merger Consideration, including any amount payable in respect of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payable upon due surrender of their Certificates (or affidavit of loss in lieu thereof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or Book-Entry Shares and compliance with the procedures in </w:t>
      </w:r>
      <w:r>
        <w:rPr>
          <w:rFonts w:ascii="Arial" w:cs="Arial" w:eastAsia="Arial" w:hAnsi="Arial"/>
          <w:sz w:val="16"/>
          <w:szCs w:val="16"/>
          <w:u w:val="single" w:color="auto"/>
          <w:color w:val="auto"/>
        </w:rPr>
        <w:t>Section 2.2(b)</w:t>
      </w:r>
      <w:r>
        <w:rPr>
          <w:rFonts w:ascii="Arial" w:cs="Arial" w:eastAsia="Arial" w:hAnsi="Arial"/>
          <w:sz w:val="16"/>
          <w:szCs w:val="16"/>
          <w:color w:val="auto"/>
        </w:rPr>
        <w:t>, without any interest thereon. Notwithstanding the foregoing, none of Parent, the Company, Merger Sub, the Surviving Company or the Exchange Agent shall be liable to any holder of a Certificate or Book-Entry Share for any Merger Consideration or other amounts delivered to a public official pursuant to any applicable abandoned property, escheat or similar Law.</w:t>
      </w:r>
    </w:p>
    <w:p>
      <w:pPr>
        <w:spacing w:after="0" w:line="168" w:lineRule="exact"/>
        <w:rPr>
          <w:rFonts w:ascii="Arial" w:cs="Arial" w:eastAsia="Arial" w:hAnsi="Arial"/>
          <w:sz w:val="16"/>
          <w:szCs w:val="16"/>
          <w:color w:val="auto"/>
        </w:rPr>
      </w:pPr>
    </w:p>
    <w:p>
      <w:pPr>
        <w:ind w:firstLine="987"/>
        <w:spacing w:after="0" w:line="257" w:lineRule="auto"/>
        <w:tabs>
          <w:tab w:leader="none" w:pos="137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In the event that any Certificates shall have been lost, stolen or destroyed, the Exchange Agent shall issue in exchange for such lost, stolen or destroyed Certificates, upon the making of an affidavit of that fact by the holder thereof and, if required by Parent, an indemnity bond, the applicable Merger Consideration payable in respect thereof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including any amount payable in respect of Fractional Share Consideration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any dividends or other distributions on shares of Parent Class A Common Stock in accordance with </w:t>
      </w:r>
      <w:r>
        <w:rPr>
          <w:rFonts w:ascii="Arial" w:cs="Arial" w:eastAsia="Arial" w:hAnsi="Arial"/>
          <w:sz w:val="18"/>
          <w:szCs w:val="18"/>
          <w:u w:val="single" w:color="auto"/>
          <w:color w:val="auto"/>
        </w:rPr>
        <w:t>Section 2.2(f)</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 w:name="page18"/>
    <w:bookmarkEnd w:id="17"/>
    <w:p>
      <w:pPr>
        <w:ind w:left="4" w:right="80" w:firstLine="987"/>
        <w:spacing w:after="0" w:line="288" w:lineRule="auto"/>
        <w:tabs>
          <w:tab w:leader="none" w:pos="135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or Distributions with Respect to Parent Class A Common Stock</w:t>
      </w:r>
      <w:r>
        <w:rPr>
          <w:rFonts w:ascii="Arial" w:cs="Arial" w:eastAsia="Arial" w:hAnsi="Arial"/>
          <w:sz w:val="16"/>
          <w:szCs w:val="16"/>
          <w:color w:val="auto"/>
        </w:rPr>
        <w:t>. No dividends or other distributions with respect to Parent Class A Common Stock with a record date after the Effective Time shall be paid to the holder of any unsurrendered Certificate or Book-Entry Share with respect to the shares of Parent Class A Common Stock issuable hereunder, and all such dividends and other distributions shall be paid by Parent to the Exchange Agent and shall be included in the Exchange Fund, in each case, until the surrender of such Certificate (or affidavit of loss in lieu thereof and, if required by Parent, an indemnity bond) or Book-Entry Share in accordance with this Agreement. Subject to applicable Law, following surrender of any such Certificate (or affidavit of loss in lieu thereof and, if required by Parent, an indemnity bond) or Book-Entry Share, there shall be paid to the holder thereof, without interest, (i) the amount of dividends or other distributions with a record date after the Effective Time theretofore paid with respect to such shares of Parent Class A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Class A Common Stock.</w:t>
      </w:r>
    </w:p>
    <w:p>
      <w:pPr>
        <w:spacing w:after="0" w:line="276"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Treatment of Company Equity Awards</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301" w:lineRule="auto"/>
        <w:tabs>
          <w:tab w:leader="none" w:pos="136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At the Effective Time, each Company Option held by any former employee of the Company or a Company Subsidiary or any non-employee director of the Company shall, in each case, without any action on the part of Parent, the Company or the holder thereof, be cancelled, with the holder of such Company Option becoming entitled to receive within five (5) Business Days, in full satisfaction of the rights of such holder with respect thereto, the Merger Consideration in respect of each Net Share covered by such Company Option, less applicable Tax withholdings.</w:t>
      </w:r>
    </w:p>
    <w:p>
      <w:pPr>
        <w:spacing w:after="0" w:line="157" w:lineRule="exact"/>
        <w:rPr>
          <w:rFonts w:ascii="Arial" w:cs="Arial" w:eastAsia="Arial" w:hAnsi="Arial"/>
          <w:sz w:val="16"/>
          <w:szCs w:val="16"/>
          <w:color w:val="auto"/>
        </w:rPr>
      </w:pPr>
    </w:p>
    <w:p>
      <w:pPr>
        <w:ind w:left="4" w:firstLine="987"/>
        <w:spacing w:after="0" w:line="284" w:lineRule="auto"/>
        <w:tabs>
          <w:tab w:leader="none" w:pos="1375"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At the Effective Time, each Company Option that is outstanding and unexercised immediately prior to the Effective Time (other than a Company Option covered by </w:t>
      </w:r>
      <w:r>
        <w:rPr>
          <w:rFonts w:ascii="Arial" w:cs="Arial" w:eastAsia="Arial" w:hAnsi="Arial"/>
          <w:sz w:val="16"/>
          <w:szCs w:val="16"/>
          <w:u w:val="single" w:color="auto"/>
          <w:color w:val="auto"/>
        </w:rPr>
        <w:t>Section 2.3(a)</w:t>
      </w:r>
      <w:r>
        <w:rPr>
          <w:rFonts w:ascii="Arial" w:cs="Arial" w:eastAsia="Arial" w:hAnsi="Arial"/>
          <w:sz w:val="16"/>
          <w:szCs w:val="16"/>
          <w:color w:val="auto"/>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Arial" w:cs="Arial" w:eastAsia="Arial" w:hAnsi="Arial"/>
          <w:sz w:val="16"/>
          <w:szCs w:val="16"/>
          <w:u w:val="single" w:color="auto"/>
          <w:color w:val="auto"/>
        </w:rPr>
        <w:t>Adjusted Option</w:t>
      </w:r>
      <w:r>
        <w:rPr>
          <w:rFonts w:ascii="Arial" w:cs="Arial" w:eastAsia="Arial" w:hAnsi="Arial"/>
          <w:sz w:val="16"/>
          <w:szCs w:val="16"/>
          <w:color w:val="auto"/>
        </w:rPr>
        <w:t xml:space="preserve">”) equal to the product obtained by </w:t>
      </w:r>
      <w:r>
        <w:rPr>
          <w:rFonts w:ascii="Arial" w:cs="Arial" w:eastAsia="Arial" w:hAnsi="Arial"/>
          <w:sz w:val="16"/>
          <w:szCs w:val="16"/>
          <w:i w:val="1"/>
          <w:iCs w:val="1"/>
          <w:color w:val="auto"/>
        </w:rPr>
        <w:t>multiplying</w:t>
      </w:r>
      <w:r>
        <w:rPr>
          <w:rFonts w:ascii="Arial" w:cs="Arial" w:eastAsia="Arial" w:hAnsi="Arial"/>
          <w:sz w:val="16"/>
          <w:szCs w:val="16"/>
          <w:color w:val="auto"/>
        </w:rPr>
        <w:t xml:space="preserve"> (x) the number of shares of Company Common Stock subject to the Company Option immediately prior to the Effective Time, </w:t>
      </w:r>
      <w:r>
        <w:rPr>
          <w:rFonts w:ascii="Arial" w:cs="Arial" w:eastAsia="Arial" w:hAnsi="Arial"/>
          <w:sz w:val="16"/>
          <w:szCs w:val="16"/>
          <w:i w:val="1"/>
          <w:iCs w:val="1"/>
          <w:color w:val="auto"/>
        </w:rPr>
        <w:t>by</w:t>
      </w:r>
      <w:r>
        <w:rPr>
          <w:rFonts w:ascii="Arial" w:cs="Arial" w:eastAsia="Arial" w:hAnsi="Arial"/>
          <w:sz w:val="16"/>
          <w:szCs w:val="16"/>
          <w:color w:val="auto"/>
        </w:rPr>
        <w:t xml:space="preserve">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w:t>
      </w:r>
      <w:r>
        <w:rPr>
          <w:rFonts w:ascii="Arial" w:cs="Arial" w:eastAsia="Arial" w:hAnsi="Arial"/>
          <w:sz w:val="16"/>
          <w:szCs w:val="16"/>
          <w:i w:val="1"/>
          <w:iCs w:val="1"/>
          <w:color w:val="auto"/>
        </w:rPr>
        <w:t>divided by</w:t>
      </w:r>
    </w:p>
    <w:p>
      <w:pPr>
        <w:spacing w:after="0" w:line="2" w:lineRule="exact"/>
        <w:rPr>
          <w:rFonts w:ascii="Arial" w:cs="Arial" w:eastAsia="Arial" w:hAnsi="Arial"/>
          <w:sz w:val="16"/>
          <w:szCs w:val="16"/>
          <w:color w:val="auto"/>
        </w:rPr>
      </w:pPr>
    </w:p>
    <w:p>
      <w:pPr>
        <w:jc w:val="both"/>
        <w:ind w:left="4" w:right="580" w:hanging="4"/>
        <w:spacing w:after="0" w:line="255" w:lineRule="auto"/>
        <w:tabs>
          <w:tab w:leader="none" w:pos="2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8" w:name="page19"/>
    <w:bookmarkEnd w:id="18"/>
    <w:p>
      <w:pPr>
        <w:ind w:right="8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At the Effective Time, each Company RSU that is outstanding immediately prior to the Effective Time and that is held by a non-employee director of the Company will vest as of the Effective Time and shall, without any action on the part of Parent, the Company or the holder thereof, be cancelled, with the holder of such Company RSU becoming entitled to receive within five (5) Business Days (or such later date required by Section 409A of the Code), in full satisfaction of the rights of such holder with respect thereto, the Merger Consideration in respect of each share of Company Common Stock subject to such Company RSU immediately prior to the Effective Time.</w:t>
      </w:r>
    </w:p>
    <w:p>
      <w:pPr>
        <w:spacing w:after="0" w:line="176" w:lineRule="exact"/>
        <w:rPr>
          <w:sz w:val="20"/>
          <w:szCs w:val="20"/>
          <w:color w:val="auto"/>
        </w:rPr>
      </w:pPr>
    </w:p>
    <w:p>
      <w:pPr>
        <w:ind w:right="60" w:firstLine="987"/>
        <w:spacing w:after="0" w:line="254" w:lineRule="auto"/>
        <w:tabs>
          <w:tab w:leader="none" w:pos="13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At the Effective Time, each Company RSU (other than any Company RSU covered by </w:t>
      </w:r>
      <w:r>
        <w:rPr>
          <w:rFonts w:ascii="Arial" w:cs="Arial" w:eastAsia="Arial" w:hAnsi="Arial"/>
          <w:sz w:val="18"/>
          <w:szCs w:val="18"/>
          <w:u w:val="single" w:color="auto"/>
          <w:color w:val="auto"/>
        </w:rPr>
        <w:t>Section 2.3(c)</w:t>
      </w:r>
      <w:r>
        <w:rPr>
          <w:rFonts w:ascii="Arial" w:cs="Arial" w:eastAsia="Arial" w:hAnsi="Arial"/>
          <w:sz w:val="18"/>
          <w:szCs w:val="18"/>
          <w:color w:val="auto"/>
        </w:rPr>
        <w:t>) that is outstanding immediately prior to the Effective Time shall, without any action on the part of Parent, the Company or the holder thereof, be assumed and converted automatically into a restricted stock unit with respect to a number of shares of Parent Class A Common Stock (each, an “</w:t>
      </w:r>
      <w:r>
        <w:rPr>
          <w:rFonts w:ascii="Arial" w:cs="Arial" w:eastAsia="Arial" w:hAnsi="Arial"/>
          <w:sz w:val="18"/>
          <w:szCs w:val="18"/>
          <w:u w:val="single" w:color="auto"/>
          <w:color w:val="auto"/>
        </w:rPr>
        <w:t>Adjusted RSU</w:t>
      </w:r>
      <w:r>
        <w:rPr>
          <w:rFonts w:ascii="Arial" w:cs="Arial" w:eastAsia="Arial" w:hAnsi="Arial"/>
          <w:sz w:val="18"/>
          <w:szCs w:val="18"/>
          <w:color w:val="auto"/>
        </w:rPr>
        <w:t xml:space="preserve">”)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total number of shares of Company Common Stock subject to the Company RSU immediately prior to the Effective Time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w:t>
      </w:r>
    </w:p>
    <w:p>
      <w:pPr>
        <w:spacing w:after="0" w:line="194" w:lineRule="exact"/>
        <w:rPr>
          <w:rFonts w:ascii="Arial" w:cs="Arial" w:eastAsia="Arial" w:hAnsi="Arial"/>
          <w:sz w:val="18"/>
          <w:szCs w:val="18"/>
          <w:color w:val="auto"/>
        </w:rPr>
      </w:pPr>
    </w:p>
    <w:p>
      <w:pPr>
        <w:ind w:firstLine="987"/>
        <w:spacing w:after="0" w:line="270" w:lineRule="auto"/>
        <w:tabs>
          <w:tab w:leader="none" w:pos="136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soon as practicable following the date hereof, the Company shall take all actions with respect to the Company ESPP that are necessary to provide that: (i) with respect to any offering periods in effect as of the date hereof (the “</w:t>
      </w:r>
      <w:r>
        <w:rPr>
          <w:rFonts w:ascii="Arial" w:cs="Arial" w:eastAsia="Arial" w:hAnsi="Arial"/>
          <w:sz w:val="17"/>
          <w:szCs w:val="17"/>
          <w:u w:val="single" w:color="auto"/>
          <w:color w:val="auto"/>
        </w:rPr>
        <w:t>Current ESPP Offering Periods</w:t>
      </w:r>
      <w:r>
        <w:rPr>
          <w:rFonts w:ascii="Arial" w:cs="Arial" w:eastAsia="Arial" w:hAnsi="Arial"/>
          <w:sz w:val="17"/>
          <w:szCs w:val="17"/>
          <w:color w:val="auto"/>
        </w:rPr>
        <w:t>”),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prior to the Closing Date as specified by the Company Board of Directors in accordance with the Company ESPP.</w:t>
      </w:r>
    </w:p>
    <w:p>
      <w:pPr>
        <w:spacing w:after="0" w:line="180" w:lineRule="exact"/>
        <w:rPr>
          <w:rFonts w:ascii="Arial" w:cs="Arial" w:eastAsia="Arial" w:hAnsi="Arial"/>
          <w:sz w:val="17"/>
          <w:szCs w:val="17"/>
          <w:color w:val="auto"/>
        </w:rPr>
      </w:pPr>
    </w:p>
    <w:p>
      <w:pPr>
        <w:ind w:right="20" w:firstLine="987"/>
        <w:spacing w:after="0" w:line="277" w:lineRule="auto"/>
        <w:tabs>
          <w:tab w:leader="none" w:pos="13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pass resolutions as are necessary for the treatment of the Company Equity Awards and the Company ESPP as contemplated by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987"/>
        <w:spacing w:after="0" w:line="257" w:lineRule="auto"/>
        <w:tabs>
          <w:tab w:leader="none" w:pos="13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and Adjusted RSUs. Parent shall use commercially reasonable efforts to maintain the effectiveness of such registration statement or statements for so long as Adjusted Options and Adjusted RSUs remain outstanding and shall reserve a sufficient number of shares of Parent Class A Common Stock for issuance upon exercise or settlement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9" w:name="page20"/>
    <w:bookmarkEnd w:id="19"/>
    <w:p>
      <w:pPr>
        <w:ind w:right="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Arial" w:cs="Arial" w:eastAsia="Arial" w:hAnsi="Arial"/>
          <w:sz w:val="16"/>
          <w:szCs w:val="16"/>
          <w:u w:val="single" w:color="auto"/>
          <w:color w:val="auto"/>
        </w:rPr>
        <w:t>Withholding</w:t>
      </w:r>
      <w:r>
        <w:rPr>
          <w:rFonts w:ascii="Arial" w:cs="Arial" w:eastAsia="Arial" w:hAnsi="Arial"/>
          <w:sz w:val="16"/>
          <w:szCs w:val="16"/>
          <w:color w:val="auto"/>
        </w:rPr>
        <w:t>. Each of the Company, Parent, Merger Sub, the Surviving Company and the Exchange Agent shall be entitled to deduct and withhold from amounts otherwise payable or deliverable pursuant to this Agreement any amounts as are required to be withheld or deducted with respect to such payment under the Code, or any other applicable Law. To the extent that amounts are so deducted or withheld, such amounts shall be treated for all purposes of this Agreement as having been paid to the Person in respect of which such deduction or withholding was made.</w:t>
      </w:r>
    </w:p>
    <w:p>
      <w:pPr>
        <w:spacing w:after="0" w:line="15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No certificate or scrip representing fractional shares of Parent Class A Common Stock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Stock converted pursuant to the Merger who would otherwise have been entitled to receive a fraction of a share of Parent Class A Common Stock (after aggregating all shares represented by the Certificates and Book-Entry Shares delivered by such holder) shall receive, in lieu thereof, cash, without interest, in an amount equal to such fraction of a share of Parent Class A Common Stock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Parent Trading Price, rounded to the nearest whole cent.</w:t>
      </w:r>
    </w:p>
    <w:p>
      <w:pPr>
        <w:spacing w:after="0" w:line="164"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Tax Treatment</w:t>
      </w:r>
      <w:r>
        <w:rPr>
          <w:rFonts w:ascii="Arial" w:cs="Arial" w:eastAsia="Arial" w:hAnsi="Arial"/>
          <w:sz w:val="18"/>
          <w:szCs w:val="18"/>
          <w:color w:val="auto"/>
        </w:rPr>
        <w:t>. It is intended that, for U.S. federal income Tax purposes, the Merger will qualify as a “reorganization” within the meaning of Section 368(a) of the Code, and that this Agreement is intended to be, and is hereby adopted as, a “plan of reorganization” within the meaning of Treasury Regulation Section 1.368-2(g) and for purposes of Sections 354 and 361 of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WARRANTIES OF THE COMPANY</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Except as disclosed in (x) the Company’s Annual Report filed on Form 10-K on March 1, 2021 or any other Company SEC Documents filed or furnished by the Company with the SEC on or after January 1, 2019 and publicly available prior to the date of this Agreement (including any exhibits and any other information incorporated by reference therein, but excluding any predictive, cautionary or forward looking disclosures contained under the captions “risk factors,” “forward looking statements” or any similar precautionary sections and other disclosures contained therein that are predictive, cautionary or forward looking in nature) or (y) the applicable section of the disclosure letter delivered by the Company to Parent immediately prior to the execution of this Agreement (the “</w:t>
      </w:r>
      <w:r>
        <w:rPr>
          <w:rFonts w:ascii="Arial" w:cs="Arial" w:eastAsia="Arial" w:hAnsi="Arial"/>
          <w:sz w:val="17"/>
          <w:szCs w:val="17"/>
          <w:u w:val="single" w:color="auto"/>
          <w:color w:val="auto"/>
        </w:rPr>
        <w:t>Company Disclosure Letter</w:t>
      </w:r>
      <w:r>
        <w:rPr>
          <w:rFonts w:ascii="Arial" w:cs="Arial" w:eastAsia="Arial" w:hAnsi="Arial"/>
          <w:sz w:val="17"/>
          <w:szCs w:val="17"/>
          <w:color w:val="auto"/>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for which it is reasonably apparent on its face that such information is relevant to such other section), the Company represents and warrants to Parent and Merger Sub as set forth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 w:name="page21"/>
    <w:bookmarkEnd w:id="20"/>
    <w:p>
      <w:pPr>
        <w:ind w:left="444"/>
        <w:spacing w:after="0"/>
        <w:tabs>
          <w:tab w:leader="none" w:pos="14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w:t>
      </w:r>
      <w:r>
        <w:rPr>
          <w:sz w:val="20"/>
          <w:szCs w:val="20"/>
          <w:color w:val="auto"/>
        </w:rPr>
        <w:tab/>
      </w:r>
      <w:r>
        <w:rPr>
          <w:rFonts w:ascii="Arial" w:cs="Arial" w:eastAsia="Arial" w:hAnsi="Arial"/>
          <w:sz w:val="16"/>
          <w:szCs w:val="16"/>
          <w:u w:val="single" w:color="auto"/>
          <w:color w:val="auto"/>
        </w:rPr>
        <w:t>Qualification, Organization, Subsidiaries, etc.</w:t>
      </w:r>
    </w:p>
    <w:p>
      <w:pPr>
        <w:spacing w:after="0" w:line="117" w:lineRule="exact"/>
        <w:rPr>
          <w:sz w:val="20"/>
          <w:szCs w:val="20"/>
          <w:color w:val="auto"/>
        </w:rPr>
      </w:pPr>
    </w:p>
    <w:p>
      <w:pPr>
        <w:ind w:left="4" w:firstLine="987"/>
        <w:spacing w:after="0" w:line="286" w:lineRule="auto"/>
        <w:tabs>
          <w:tab w:leader="none" w:pos="13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is a legal entity duly organized, validly existing and in good standing under the Laws of its jurisdiction of organization. Except as would not be material to the Company and the Company Subsidiaries, taken as a whole, each Company Subsidiary is a legal entity duly organized and validly existing under the Laws of its respective jurisdiction of organization. Except as would not reasonably be expected to have, individually or in the aggregate, a Company Material Adverse Effect, each of the Company and the Company Subsidiaries has all requisite corporate or similar power and authority to own, lease and operate its properties and assets and to carry on its business as presently conducted. Each of the Company and the Company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and would not reasonably be expected to have, individually or in the aggregate, a Company Material Adverse Effect and (2) has not had and would not, either individually or in the aggregate, reasonably be expected to have a material adverse effect on the ability of the Company to consummate the Transactions, including the Merger, prior to the Outside Date. The Company has filed with the SEC, prior to the date hereof,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certificates of incorporation and bylaws, or equivalent organizational or governing documents, of each of the Company’s Subsidiaries, each as currently in effect.</w:t>
      </w:r>
    </w:p>
    <w:p>
      <w:pPr>
        <w:spacing w:after="0" w:line="170" w:lineRule="exact"/>
        <w:rPr>
          <w:rFonts w:ascii="Arial" w:cs="Arial" w:eastAsia="Arial" w:hAnsi="Arial"/>
          <w:sz w:val="16"/>
          <w:szCs w:val="16"/>
          <w:color w:val="auto"/>
        </w:rPr>
      </w:pPr>
    </w:p>
    <w:p>
      <w:pPr>
        <w:ind w:left="4" w:firstLine="987"/>
        <w:spacing w:after="0" w:line="271" w:lineRule="auto"/>
        <w:tabs>
          <w:tab w:leader="none" w:pos="13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 or Liens arising under any applicable securities Laws.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of the Company Disclosure Letter sets forth an accurate and complete list of each Company Subsidiary, together with (i) the jurisdiction of incorporation or organization, as the case may be, of each Company Subsidiary, (ii) the type and percentage of interests held, directly or indirectly, by the Company in each Company Subsidiary, (iii) the names and the type of and percentage of interest held by any Person other than the Company or a Company Subsidiary in each Company Subsidiary or in each such other Person and (iv) the classification for U.S. federal income Tax purposes of each Company Subsidiary. Other than the Company Subsidiaries, neither the Company nor any Company Subsidiary owns any equity or other economic interest in any other Person.</w:t>
      </w:r>
    </w:p>
    <w:p>
      <w:pPr>
        <w:spacing w:after="0" w:line="286"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287" w:lineRule="auto"/>
        <w:tabs>
          <w:tab w:leader="none" w:pos="13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450,000,000 shares of Company Common Stock and 5,000,000 shares of preferred stock, par value $0.001 per share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As of July 14, 2021, (the “</w:t>
      </w:r>
      <w:r>
        <w:rPr>
          <w:rFonts w:ascii="Arial" w:cs="Arial" w:eastAsia="Arial" w:hAnsi="Arial"/>
          <w:sz w:val="16"/>
          <w:szCs w:val="16"/>
          <w:u w:val="single" w:color="auto"/>
          <w:color w:val="auto"/>
        </w:rPr>
        <w:t>Company Capitalization Date</w:t>
      </w:r>
      <w:r>
        <w:rPr>
          <w:rFonts w:ascii="Arial" w:cs="Arial" w:eastAsia="Arial" w:hAnsi="Arial"/>
          <w:sz w:val="16"/>
          <w:szCs w:val="16"/>
          <w:color w:val="auto"/>
        </w:rPr>
        <w:t>”), (i) (A) 67,684,173 shares of Company Common Stock were issued and outstanding, (B) 21,383 shares of Company Common Stock were held in the Company’s treasury,</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shares of Company Common Stock were held by the Company Subsidiaries, (D) Company Options covering</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1" w:name="page22"/>
    <w:bookmarkEnd w:id="21"/>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2,129,599 shares of Company Common Stock were outstanding, with a weighted average exercise price per share of $36.69, and (E) Company RSUs covering 2,312,727 shares of Company Common Stock were outstanding; (ii) 18,565,133 shares of Company Common Stock were reserved for issuance pursuant to the Company Equity Plans; (iii) 3,128,696 shares of Company Common Stock were reserved for issuance pursuant to the Company ESPP;</w:t>
      </w:r>
    </w:p>
    <w:p>
      <w:pPr>
        <w:spacing w:after="0" w:line="2" w:lineRule="exact"/>
        <w:rPr>
          <w:sz w:val="20"/>
          <w:szCs w:val="20"/>
          <w:color w:val="auto"/>
        </w:rPr>
      </w:pPr>
    </w:p>
    <w:p>
      <w:pPr>
        <w:ind w:left="4" w:right="100" w:hanging="4"/>
        <w:spacing w:after="0" w:line="285" w:lineRule="auto"/>
        <w:tabs>
          <w:tab w:leader="none" w:pos="3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6,575,386 shares of Company Common Stock were reserved for issuance pursuant to the Convertible Notes Indentures; and (v) no shares of Company Preferred Stock were issued or outstanding. All the outstanding shares of Company Common Stock are, and all shares of Company Common Stock reserved for issuance as described above shall be, when issued in accordance with the respective terms thereof, duly authorized, validly issued, fully paid and nonassessable and free of preemptive rights. No event or circumstance has occurred that has resulted in (i) an adjustment to the Conversion Rate (as defined in the 2023 Notes Indenture as in effect on the date hereof) from 24.4978 shares of Common Stock (as defined in the 2023 Notes Indenture as in effect on the date hereof) per $1,000 principal amount of 2023 Notes, (ii) an adjustment to the Conversion Rate (as defined in the 2025 Notes Indenture as in effect on the date hereof) from 7.4437 shares of Common Stock (as defined in the 2023 Notes Indenture as in effect on the date hereof) per $1,000 principal amount of 2025 Notes, (iii) a Potential Adjustment Event or otherwise an adjustment to the Option Entitlement, the Strike Price or the Cap Price (each as defined in the 2023 Capped Call Confirmations), (iv) a Potential Adjustment Event or otherwise an adjustment to the Option Entitlement, the Strike Price or the Cap Price (each as defined in the 2025 Capped Call Confirmations), or (v) an Additional Termination Event (as defined in the 2023 Capped Call Confirmation or 2025 Capped Call Confirmation, as applicable) or other termination of all or any portion of the transactions under 2023 Capped Call Confirmations or the 2025 Capped Call Confirmation.</w:t>
      </w:r>
    </w:p>
    <w:p>
      <w:pPr>
        <w:spacing w:after="0" w:line="172" w:lineRule="exact"/>
        <w:rPr>
          <w:sz w:val="20"/>
          <w:szCs w:val="20"/>
          <w:color w:val="auto"/>
        </w:rPr>
      </w:pPr>
    </w:p>
    <w:p>
      <w:pPr>
        <w:ind w:left="1384" w:hanging="393"/>
        <w:spacing w:after="0"/>
        <w:tabs>
          <w:tab w:leader="none" w:pos="1384"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of the Company Disclosure Letter sets forth a true and complete list, as of the Company Capitalization Date, of</w:t>
      </w:r>
    </w:p>
    <w:p>
      <w:pPr>
        <w:spacing w:after="0" w:line="34" w:lineRule="exact"/>
        <w:rPr>
          <w:rFonts w:ascii="Arial" w:cs="Arial" w:eastAsia="Arial" w:hAnsi="Arial"/>
          <w:sz w:val="17"/>
          <w:szCs w:val="17"/>
          <w:color w:val="auto"/>
        </w:rPr>
      </w:pPr>
    </w:p>
    <w:p>
      <w:pPr>
        <w:ind w:left="4" w:right="60" w:hanging="4"/>
        <w:spacing w:after="0" w:line="253" w:lineRule="auto"/>
        <w:tabs>
          <w:tab w:leader="none" w:pos="2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and (viii) the expiration date of each Company Equity Award, if applicable.</w:t>
      </w:r>
    </w:p>
    <w:p>
      <w:pPr>
        <w:spacing w:after="0" w:line="190" w:lineRule="exact"/>
        <w:rPr>
          <w:rFonts w:ascii="Arial" w:cs="Arial" w:eastAsia="Arial" w:hAnsi="Arial"/>
          <w:sz w:val="18"/>
          <w:szCs w:val="18"/>
          <w:color w:val="auto"/>
        </w:rPr>
      </w:pPr>
    </w:p>
    <w:p>
      <w:pPr>
        <w:ind w:left="4" w:right="40" w:firstLine="987"/>
        <w:spacing w:after="0" w:line="290" w:lineRule="auto"/>
        <w:tabs>
          <w:tab w:leader="none" w:pos="1375"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and other than the shares of Company Common Stock that have become outstanding after the Company Capitalization Date that were reserved for issuance as set forth in </w:t>
      </w:r>
      <w:r>
        <w:rPr>
          <w:rFonts w:ascii="Arial" w:cs="Arial" w:eastAsia="Arial" w:hAnsi="Arial"/>
          <w:sz w:val="16"/>
          <w:szCs w:val="16"/>
          <w:u w:val="single" w:color="auto"/>
          <w:color w:val="auto"/>
        </w:rPr>
        <w:t>Section 3.2(a)(ii)</w:t>
      </w:r>
      <w:r>
        <w:rPr>
          <w:rFonts w:ascii="Arial" w:cs="Arial" w:eastAsia="Arial" w:hAnsi="Arial"/>
          <w:sz w:val="16"/>
          <w:szCs w:val="16"/>
          <w:color w:val="auto"/>
        </w:rPr>
        <w:t xml:space="preserve"> and issued in accordance with the terms of the applicable Company Equity Plan and Company Equity Award,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(A) issue, transfer or sell, or make any payment with respect to, any shares of capital stock or other equity interests of the Company or any Company Subsidiary or securities convertible into, exchangeable for or exercisable for, or that correspond to, such shares or equity interests, (B) grant, extend or enter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into any such subscription, option, warrant, put, call, exchangeable or convertible securities or other similar right, agreement or commitment,</w:t>
      </w:r>
    </w:p>
    <w:p>
      <w:pPr>
        <w:spacing w:after="0" w:line="35" w:lineRule="exact"/>
        <w:rPr>
          <w:sz w:val="20"/>
          <w:szCs w:val="20"/>
          <w:color w:val="auto"/>
        </w:rPr>
      </w:pPr>
    </w:p>
    <w:p>
      <w:pPr>
        <w:ind w:left="4" w:hanging="4"/>
        <w:spacing w:after="0" w:line="252" w:lineRule="auto"/>
        <w:tabs>
          <w:tab w:leader="none" w:pos="2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redeem or otherwise acquire any such shares of capital stock or other equity interests or (D) provide any amount of funds to, or make any investment (in the form of a loan, capital contribution or otherwise) in, any Company Subsidiary that is not wholly owned or in any other Person. There are no outstanding obligations of the Company or any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any Company Subsidiary.</w:t>
      </w:r>
    </w:p>
    <w:p>
      <w:pPr>
        <w:spacing w:after="0" w:line="193" w:lineRule="exact"/>
        <w:rPr>
          <w:rFonts w:ascii="Arial" w:cs="Arial" w:eastAsia="Arial" w:hAnsi="Arial"/>
          <w:sz w:val="18"/>
          <w:szCs w:val="18"/>
          <w:color w:val="auto"/>
        </w:rPr>
      </w:pPr>
    </w:p>
    <w:p>
      <w:pPr>
        <w:ind w:left="4" w:right="60" w:firstLine="987"/>
        <w:spacing w:after="0" w:line="263" w:lineRule="auto"/>
        <w:tabs>
          <w:tab w:leader="none" w:pos="13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outstanding bonds, debentures, notes or other similar obligations, the holders of which have the right to vote (or, other than the Convertible Notes, which are convertible into or exercisable for cash or securities having the right to vote) with the Company Stockholders on any matter.</w:t>
      </w:r>
    </w:p>
    <w:p>
      <w:pPr>
        <w:spacing w:after="0" w:line="183" w:lineRule="exact"/>
        <w:rPr>
          <w:rFonts w:ascii="Arial" w:cs="Arial" w:eastAsia="Arial" w:hAnsi="Arial"/>
          <w:sz w:val="18"/>
          <w:szCs w:val="18"/>
          <w:color w:val="auto"/>
        </w:rPr>
      </w:pPr>
    </w:p>
    <w:p>
      <w:pPr>
        <w:ind w:left="4" w:right="180" w:firstLine="987"/>
        <w:spacing w:after="0" w:line="263" w:lineRule="auto"/>
        <w:tabs>
          <w:tab w:leader="none" w:pos="13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There are no voting trusts or other agreements, commitments or understandings to which the Company or any Company Subsidiary (or to the Company’s Knowledge, a Company Stockholder) is a party with respect to the voting of the capital stock or other equity interests of the Company or any Company Subsidiary.</w:t>
      </w:r>
    </w:p>
    <w:p>
      <w:pPr>
        <w:spacing w:after="0" w:line="183" w:lineRule="exact"/>
        <w:rPr>
          <w:rFonts w:ascii="Arial" w:cs="Arial" w:eastAsia="Arial" w:hAnsi="Arial"/>
          <w:sz w:val="18"/>
          <w:szCs w:val="18"/>
          <w:color w:val="auto"/>
        </w:rPr>
      </w:pPr>
    </w:p>
    <w:p>
      <w:pPr>
        <w:ind w:left="4" w:right="60" w:firstLine="987"/>
        <w:spacing w:after="0" w:line="257" w:lineRule="auto"/>
        <w:tabs>
          <w:tab w:leader="none" w:pos="13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On July 9, 2021, the Company removed the restrictive notes legend required by Section 2.05(c) of the 2025 Notes Indenture, or caused to be deemed removed such restrictive notes legend, from the 2025 Notes, and caused such 2025 Notes to be assigned an unrestricted CUSIP number as a result thereof, in each case, in accordance with the terms of the 2025 Notes Indenture. Except as set forth in </w:t>
      </w:r>
      <w:r>
        <w:rPr>
          <w:rFonts w:ascii="Arial" w:cs="Arial" w:eastAsia="Arial" w:hAnsi="Arial"/>
          <w:sz w:val="18"/>
          <w:szCs w:val="18"/>
          <w:u w:val="single" w:color="auto"/>
          <w:color w:val="auto"/>
        </w:rPr>
        <w:t>Section 3.2(f)</w:t>
      </w:r>
      <w:r>
        <w:rPr>
          <w:rFonts w:ascii="Arial" w:cs="Arial" w:eastAsia="Arial" w:hAnsi="Arial"/>
          <w:sz w:val="18"/>
          <w:szCs w:val="18"/>
          <w:color w:val="auto"/>
        </w:rPr>
        <w:t xml:space="preserve"> of the Company Disclosure Letter, there is no Additional Interest (as defined in the 2025 Notes Indenture) or other amounts owed by the Company under the 2025 Notes Indenture pursuant to </w:t>
      </w:r>
      <w:r>
        <w:rPr>
          <w:rFonts w:ascii="Arial" w:cs="Arial" w:eastAsia="Arial" w:hAnsi="Arial"/>
          <w:sz w:val="18"/>
          <w:szCs w:val="18"/>
          <w:u w:val="single" w:color="auto"/>
          <w:color w:val="auto"/>
        </w:rPr>
        <w:t>Section 4.06(e)</w:t>
      </w:r>
      <w:r>
        <w:rPr>
          <w:rFonts w:ascii="Arial" w:cs="Arial" w:eastAsia="Arial" w:hAnsi="Arial"/>
          <w:sz w:val="18"/>
          <w:szCs w:val="18"/>
          <w:color w:val="auto"/>
        </w:rPr>
        <w:t xml:space="preserve"> thereof.</w:t>
      </w:r>
    </w:p>
    <w:p>
      <w:pPr>
        <w:spacing w:after="0" w:line="296"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Corporate Authority</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69" w:lineRule="auto"/>
        <w:tabs>
          <w:tab w:leader="none" w:pos="137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has all requisite corporate power and authority to execute and deliver this Agreement and to consummate the Transactions, including the Merger. The execution and delivery of this Agreement and the consummation of the Transactions have been duly and validly authorized by the Company Board of Directors and no other corporate proceedings (pursuant to the Company Governing Documents or otherwise) on the part of the Company are necessary to authorize the consummation of, and to consummate, the Transactions, except, with respect to the Merger, the receipt of the Company Stockholder Approval and, for the filing of the Certificate of Merger with the Secretary of State of the State of Delaware. On or prior to the date hereof, the Company Board of Directors has unanimously (i) determined that the terms of the Transactions, including the Merger, are fair to, and in the best interests of, the Company and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recommend that the Company Stockholders approve the Transactions, including the Merger, and</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3" w:name="page24"/>
    <w:bookmarkEnd w:id="23"/>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adopt this Agreement. None of the foregoing actions by the Company Board of Directors has been rescinded or modified in any way (unless a Change of Recommendation has been effected after the date hereof in accordance with the terms of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0" w:lineRule="exact"/>
        <w:rPr>
          <w:sz w:val="20"/>
          <w:szCs w:val="20"/>
          <w:color w:val="auto"/>
        </w:rPr>
      </w:pPr>
    </w:p>
    <w:p>
      <w:pPr>
        <w:ind w:left="4" w:right="20" w:firstLine="987"/>
        <w:spacing w:after="0" w:line="263" w:lineRule="auto"/>
        <w:tabs>
          <w:tab w:leader="none" w:pos="13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outstanding Company Common Stock entitled to vote thereon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to approve the Merger and adopt this Agreement is the only vote of the holders of any class or series of the Company’s capital stock necessary to approve and adopt this Agreement and to consummate the Transactions, including the Merger.</w:t>
      </w:r>
    </w:p>
    <w:p>
      <w:pPr>
        <w:spacing w:after="0" w:line="183" w:lineRule="exact"/>
        <w:rPr>
          <w:rFonts w:ascii="Arial" w:cs="Arial" w:eastAsia="Arial" w:hAnsi="Arial"/>
          <w:sz w:val="18"/>
          <w:szCs w:val="18"/>
          <w:color w:val="auto"/>
        </w:rPr>
      </w:pPr>
    </w:p>
    <w:p>
      <w:pPr>
        <w:ind w:left="4" w:right="140" w:firstLine="987"/>
        <w:spacing w:after="0" w:line="273" w:lineRule="auto"/>
        <w:tabs>
          <w:tab w:leader="none" w:pos="137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Arial" w:cs="Arial" w:eastAsia="Arial" w:hAnsi="Arial"/>
          <w:sz w:val="17"/>
          <w:szCs w:val="17"/>
          <w:u w:val="single" w:color="auto"/>
          <w:color w:val="auto"/>
        </w:rPr>
        <w:t>Enforceability Limitations</w:t>
      </w:r>
      <w:r>
        <w:rPr>
          <w:rFonts w:ascii="Arial" w:cs="Arial" w:eastAsia="Arial" w:hAnsi="Arial"/>
          <w:sz w:val="17"/>
          <w:szCs w:val="17"/>
          <w:color w:val="auto"/>
        </w:rPr>
        <w:t>”).</w:t>
      </w:r>
    </w:p>
    <w:p>
      <w:pPr>
        <w:spacing w:after="0" w:line="286"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Governmental Consents; No Violation</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88" w:lineRule="auto"/>
        <w:tabs>
          <w:tab w:leader="none" w:pos="1375" w:val="left"/>
        </w:tabs>
        <w:numPr>
          <w:ilvl w:val="1"/>
          <w:numId w:val="24"/>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(ii) the filing of the Proxy Statement/Prospectus and the registration statement on Form S-4 to register under the Securities Act the offer and sale of Parent Class A Common Stock pursuant to Merger (together with all amendments and supplements thereto, and including all exhibits thereto, the “</w:t>
      </w:r>
      <w:r>
        <w:rPr>
          <w:rFonts w:ascii="Arial" w:cs="Arial" w:eastAsia="Arial" w:hAnsi="Arial"/>
          <w:sz w:val="16"/>
          <w:szCs w:val="16"/>
          <w:u w:val="single" w:color="auto"/>
          <w:color w:val="auto"/>
        </w:rPr>
        <w:t>Form S-4</w:t>
      </w:r>
      <w:r>
        <w:rPr>
          <w:rFonts w:ascii="Arial" w:cs="Arial" w:eastAsia="Arial" w:hAnsi="Arial"/>
          <w:sz w:val="16"/>
          <w:szCs w:val="16"/>
          <w:color w:val="auto"/>
        </w:rPr>
        <w:t>”) with the SEC and any amendments or supplements thereto and declaration of effectiveness of the Form S-4 and the mailing of the Proxy Statement/Prospectus, (iii) the Securities Act, (iv) the Exchange Act, (v) applicable state securities, takeover and “blue sky” Laws, (vi) the HSR Act and any other requisite clearances or approvals under any other applicable requirements of other Antitrust Laws, (vii) the Communications Approvals, and (viii) any applicable requirements of Nasdaq, no authorization, permit, notification to, consent or approval of, or filing with, any Governmental Entity is anticipated to be necessary or required, under applicable Law, for the consummation by the Company of the Transactions, except for such authorizations, permits, notifications, consents, approvals or filings that, if not obtained or made, would not reasonably be expected to have, individually or in the aggregate, (1) a Company Material Adverse Effect or (2) a material adverse effect on the ability of the Company to consummate the Transactions, including the Merger, prior to the Outside Date.</w:t>
      </w:r>
    </w:p>
    <w:p>
      <w:pPr>
        <w:spacing w:after="0" w:line="168" w:lineRule="exact"/>
        <w:rPr>
          <w:rFonts w:ascii="Arial" w:cs="Arial" w:eastAsia="Arial" w:hAnsi="Arial"/>
          <w:sz w:val="16"/>
          <w:szCs w:val="16"/>
          <w:color w:val="auto"/>
        </w:rPr>
      </w:pPr>
    </w:p>
    <w:p>
      <w:pPr>
        <w:ind w:left="4" w:right="540" w:firstLine="987"/>
        <w:spacing w:after="0" w:line="291" w:lineRule="auto"/>
        <w:tabs>
          <w:tab w:leader="none" w:pos="1382"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The execution and delivery by the Company of this Agreement do not, and, subject to the receipt of the Company Stockholder Approval and except as described in </w:t>
      </w:r>
      <w:r>
        <w:rPr>
          <w:rFonts w:ascii="Arial" w:cs="Arial" w:eastAsia="Arial" w:hAnsi="Arial"/>
          <w:sz w:val="16"/>
          <w:szCs w:val="16"/>
          <w:u w:val="single" w:color="auto"/>
          <w:color w:val="auto"/>
        </w:rPr>
        <w:t>Section 3.4(a)</w:t>
      </w:r>
      <w:r>
        <w:rPr>
          <w:rFonts w:ascii="Arial" w:cs="Arial" w:eastAsia="Arial" w:hAnsi="Arial"/>
          <w:sz w:val="16"/>
          <w:szCs w:val="16"/>
          <w:color w:val="auto"/>
        </w:rPr>
        <w:t>, the consummation of the Transactions and compliance with the provisions hereof will not</w:t>
      </w:r>
    </w:p>
    <w:p>
      <w:pPr>
        <w:ind w:left="4" w:right="180" w:hanging="4"/>
        <w:spacing w:after="0" w:line="253"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the Company or any Company Subsidiary or to which any of them are a party or by or to which any of their respective properties,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4" w:name="page25"/>
    <w:bookmarkEnd w:id="2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rights or assets are bound or subject, or result in the creation of any Lien upon any of the properties, rights or assets of the Company or any Company Subsidiary, other than Permitted Liens, (ii) conflict with or result in any violation of any provision of (A) the Company Governing Documents or (B) the organizational or governing documents of any Company Subsidiary or (iii) conflict with or violate any Laws applicable to the Company or any Company Subsidiary or any of their respective properties, rights or assets, other than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any such violation, breach, conflict, default, termination, modification, cancellation, acceleration, right, loss or Lien that has not had and would not reasonably be expected to have, individually or in the aggregate, (1) a Company Material Adverse Effect or (2) a material adverse effect on the ability of the Company to consummate the Transactions, including the Merger, prior to the Outside Date.</w:t>
      </w:r>
    </w:p>
    <w:p>
      <w:pPr>
        <w:spacing w:after="0" w:line="28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5"/>
          <w:szCs w:val="15"/>
          <w:u w:val="single" w:color="auto"/>
          <w:color w:val="auto"/>
        </w:rPr>
        <w:t>SEC Reports and Financial Statements</w:t>
      </w:r>
      <w:r>
        <w:rPr>
          <w:rFonts w:ascii="Arial" w:cs="Arial" w:eastAsia="Arial" w:hAnsi="Arial"/>
          <w:sz w:val="15"/>
          <w:szCs w:val="15"/>
          <w:color w:val="auto"/>
        </w:rPr>
        <w:t>.</w:t>
      </w:r>
    </w:p>
    <w:p>
      <w:pPr>
        <w:spacing w:after="0" w:line="117" w:lineRule="exact"/>
        <w:rPr>
          <w:sz w:val="20"/>
          <w:szCs w:val="20"/>
          <w:color w:val="auto"/>
        </w:rPr>
      </w:pPr>
    </w:p>
    <w:p>
      <w:pPr>
        <w:ind w:firstLine="987"/>
        <w:spacing w:after="0" w:line="268" w:lineRule="auto"/>
        <w:tabs>
          <w:tab w:leader="none" w:pos="1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Since January 1, 2019, the Company has timely filed or furnished all forms, statements, schedules, documents and reports required to be filed or furnished by it with the SEC (such forms, statements, schedules, documents and reports, the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Arial" w:cs="Arial" w:eastAsia="Arial" w:hAnsi="Arial"/>
          <w:sz w:val="17"/>
          <w:szCs w:val="17"/>
          <w:u w:val="single" w:color="auto"/>
          <w:color w:val="auto"/>
        </w:rPr>
        <w:t>Sarbanes Oxley</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the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2019, neither the Company nor any Company Subsidiary has received from the SEC or any other Governmental Entity any written comments or questions with respect to any of the Company SEC Documents (including the financial statements included therein) that are not resolved, or, as of the date hereof, has received any written notice from the SEC or other Governmental Entity that such Company SEC Documents (including the financial statements included therein) are being reviewed or investigated, and, to the Company’s Knowledge, there is not, as of the date hereof, any investigation or review being conducted by the SEC or any other Governmental Entity of any Company SEC Documents (including the financial statements included therein). No Company Subsidiary is required to file any forms, reports or other documents with the SEC.</w:t>
      </w:r>
    </w:p>
    <w:p>
      <w:pPr>
        <w:spacing w:after="0" w:line="181" w:lineRule="exact"/>
        <w:rPr>
          <w:rFonts w:ascii="Arial" w:cs="Arial" w:eastAsia="Arial" w:hAnsi="Arial"/>
          <w:sz w:val="17"/>
          <w:szCs w:val="17"/>
          <w:color w:val="auto"/>
        </w:rPr>
      </w:pPr>
    </w:p>
    <w:p>
      <w:pPr>
        <w:ind w:right="20" w:firstLine="987"/>
        <w:spacing w:after="0" w:line="293" w:lineRule="auto"/>
        <w:tabs>
          <w:tab w:leader="none" w:pos="13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quarterly financial statements, to normal year-end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 adjustments and any other adjustment described therein permitted by the rules and regulations of the SEC and to the absence of notes) in conformity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87" w:lineRule="exact"/>
        <w:rPr>
          <w:sz w:val="20"/>
          <w:szCs w:val="20"/>
          <w:color w:val="auto"/>
        </w:rPr>
      </w:pPr>
    </w:p>
    <w:p>
      <w:pPr>
        <w:ind w:right="40" w:firstLine="987"/>
        <w:spacing w:after="0" w:line="254" w:lineRule="auto"/>
        <w:tabs>
          <w:tab w:leader="none" w:pos="13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the Company nor any of its executive officers has received written notice from any Governmental Entity challenging or questioning the accuracy, completeness, form or manner of filing of such certifications.</w:t>
      </w:r>
    </w:p>
    <w:p>
      <w:pPr>
        <w:spacing w:after="0" w:line="194" w:lineRule="exact"/>
        <w:rPr>
          <w:rFonts w:ascii="Arial" w:cs="Arial" w:eastAsia="Arial" w:hAnsi="Arial"/>
          <w:sz w:val="18"/>
          <w:szCs w:val="18"/>
          <w:color w:val="auto"/>
        </w:rPr>
      </w:pPr>
    </w:p>
    <w:p>
      <w:pPr>
        <w:ind w:left="1380" w:hanging="393"/>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Neither the Company nor any Company Subsidiary is a party to, or has any Contract to become a party to, any joint venture,</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off-balance sheet partnership or any similar Contract, including any Contract relating to any transaction or relationship between or among the Company or any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w:t>
      </w:r>
    </w:p>
    <w:p>
      <w:pPr>
        <w:spacing w:after="0" w:line="19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Internal Controls and Procedures</w:t>
      </w:r>
      <w:r>
        <w:rPr>
          <w:rFonts w:ascii="Arial" w:cs="Arial" w:eastAsia="Arial" w:hAnsi="Arial"/>
          <w:sz w:val="17"/>
          <w:szCs w:val="17"/>
          <w:color w:val="auto"/>
        </w:rPr>
        <w:t>. The Company has established and maintains, and at all times since January 1, 2019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 Oxley Act. Since January 1, 2019, the Company’s principal executive officer and its principal financial officer have disclosed to the Company’s auditors and the audit committee of the Company Board of Directors (the material circumstances of which (if any) and significant facts learned during the preparation of such disclosure have been made available to Parent prior to the date hereof) (i) any significant deficiencies and material weaknesses in the design or operation of internal controls over financial reporting, (ii) any fraud, whether or not material, that involves management or other employees who have a significant role in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6" w:name="page27"/>
    <w:bookmarkEnd w:id="2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Company’s internal controls over financial reporting and (iii) any written claim or allegation regarding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Since January 1, 2019 through the date hereof, neither the Company nor any Company Subsidiary has received any material, unresolved complaint, allegation, assertion or claim regarding the accounting or auditing practices, procedures, methodologies or methods of the Company or any Company Subsidiary or their respective internal accounting controls.</w:t>
      </w:r>
    </w:p>
    <w:p>
      <w:pPr>
        <w:spacing w:after="0" w:line="187"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Neither the Company nor any Company Subsidiary has any liabilities of any nature, whether or not accrued, contingent, absolute or otherwise, except (a) as and to the extent specifically disclosed, reflected or reserved against in the Company’s consolidated balance sheet (or the notes thereto) as of March 31, 2021 included in the Company SEC Documents filed or furnished prior to the date hereof, (b) for liabilities incurred or which have been discharged or paid in full, in each case, in the ordinary course of business consistent with past practice since December 31, 2020 (other than any liability for any material breaches of Contracts), (c) as expressly required or expressly contemplated by this Agreement and (d) for liabilities which have not had and would not reasonably be expected to have, individually or in the aggregate, a Company Material Adverse Effect.</w:t>
      </w:r>
    </w:p>
    <w:p>
      <w:pPr>
        <w:spacing w:after="0" w:line="30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117" w:lineRule="exact"/>
        <w:rPr>
          <w:sz w:val="20"/>
          <w:szCs w:val="20"/>
          <w:color w:val="auto"/>
        </w:rPr>
      </w:pPr>
    </w:p>
    <w:p>
      <w:pPr>
        <w:ind w:right="100" w:firstLine="987"/>
        <w:spacing w:after="0" w:line="277" w:lineRule="auto"/>
        <w:tabs>
          <w:tab w:leader="none" w:pos="1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December 31, 2020 through the date hereof, there has not occurred any Effect that has had or would reasonably be expected to have, individually or in the aggregate, a Company Material Adverse Effect.</w:t>
      </w:r>
    </w:p>
    <w:p>
      <w:pPr>
        <w:spacing w:after="0" w:line="170" w:lineRule="exact"/>
        <w:rPr>
          <w:rFonts w:ascii="Arial" w:cs="Arial" w:eastAsia="Arial" w:hAnsi="Arial"/>
          <w:sz w:val="18"/>
          <w:szCs w:val="18"/>
          <w:color w:val="auto"/>
        </w:rPr>
      </w:pPr>
    </w:p>
    <w:p>
      <w:pPr>
        <w:ind w:right="60" w:firstLine="987"/>
        <w:spacing w:after="0" w:line="275" w:lineRule="auto"/>
        <w:tabs>
          <w:tab w:leader="none" w:pos="138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From December 31, 2020 through the date hereof, (i) except to the extent it relates to the events giving rise to and the discussion and negotiation of this Agreement and the Transactions, the businesses of the Company and the Company Subsidiaries have been conducted in all material respects in the ordinary course of business and (ii) neither the Company nor any Company Subsidiary has taken any action that, if taken after the date hereof, would constitute a breach of, or require the consent of Parent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(other than any actions specified by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(xvi</w:t>
      </w:r>
      <w:r>
        <w:rPr>
          <w:rFonts w:ascii="Arial" w:cs="Arial" w:eastAsia="Arial" w:hAnsi="Arial"/>
          <w:sz w:val="17"/>
          <w:szCs w:val="17"/>
          <w:color w:val="auto"/>
        </w:rPr>
        <w:t xml:space="preserve">), </w:t>
      </w:r>
      <w:r>
        <w:rPr>
          <w:rFonts w:ascii="Arial" w:cs="Arial" w:eastAsia="Arial" w:hAnsi="Arial"/>
          <w:sz w:val="17"/>
          <w:szCs w:val="17"/>
          <w:u w:val="single" w:color="auto"/>
          <w:color w:val="auto"/>
        </w:rPr>
        <w:t>(xx</w:t>
      </w:r>
      <w:r>
        <w:rPr>
          <w:rFonts w:ascii="Arial" w:cs="Arial" w:eastAsia="Arial" w:hAnsi="Arial"/>
          <w:sz w:val="17"/>
          <w:szCs w:val="17"/>
          <w:color w:val="auto"/>
        </w:rPr>
        <w:t xml:space="preserve">), </w:t>
      </w:r>
      <w:r>
        <w:rPr>
          <w:rFonts w:ascii="Arial" w:cs="Arial" w:eastAsia="Arial" w:hAnsi="Arial"/>
          <w:sz w:val="17"/>
          <w:szCs w:val="17"/>
          <w:u w:val="single" w:color="auto"/>
          <w:color w:val="auto"/>
        </w:rPr>
        <w:t>(xxi)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(xxv)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(xxviii)</w:t>
      </w:r>
      <w:r>
        <w:rPr>
          <w:rFonts w:ascii="Arial" w:cs="Arial" w:eastAsia="Arial" w:hAnsi="Arial"/>
          <w:sz w:val="17"/>
          <w:szCs w:val="17"/>
          <w:color w:val="auto"/>
        </w:rPr>
        <w:t xml:space="preserve"> (to the extent </w:t>
      </w:r>
      <w:r>
        <w:rPr>
          <w:rFonts w:ascii="Arial" w:cs="Arial" w:eastAsia="Arial" w:hAnsi="Arial"/>
          <w:sz w:val="17"/>
          <w:szCs w:val="17"/>
          <w:u w:val="single" w:color="auto"/>
          <w:color w:val="auto"/>
        </w:rPr>
        <w:t>clause (xxviii)</w:t>
      </w:r>
      <w:r>
        <w:rPr>
          <w:rFonts w:ascii="Arial" w:cs="Arial" w:eastAsia="Arial" w:hAnsi="Arial"/>
          <w:sz w:val="17"/>
          <w:szCs w:val="17"/>
          <w:color w:val="auto"/>
        </w:rPr>
        <w:t xml:space="preserve"> relates to the foregoing clauses)).</w:t>
      </w:r>
    </w:p>
    <w:p>
      <w:pPr>
        <w:spacing w:after="0" w:line="28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Compliance with Law; Permits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71" w:lineRule="auto"/>
        <w:tabs>
          <w:tab w:leader="none" w:pos="13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and each Company Subsidiary are and have been since January 1, 2019 in compliance with, and not in default under or in violation of, any Laws (including Environmental Laws, Communications Laws and employee benefits and labor Laws) applicable to the Company, such Company Subsidiary or any of their respective properties or assets, except where such non-compliance, default or violation has not had and would not reasonably be expected to have, individually or in the aggregate, a Company Material Adverse Effect. Neither the Company nor any of its Subsidiaries has received written notice of any violation of Law, including, without limitation, any Communications Law, or order applicable to the Company and its Subsidiaries or, in the last two years, has been the subject of a fine or consent decree relating to compliance with any Communications Law, or order applicable to the Company and its Subsidiaries, except for violations that would not, individually or in the aggregate, result in material liability to the Company and its Subsidiaries taken as a whole. The Company and its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7" w:name="page28"/>
    <w:bookmarkEnd w:id="27"/>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are in compliance in all material respects with the Communications Assistance for Law Enforcement Act of 1994 and all rules and regulations promulgated thereunder. The Company and its Subsidiaries are in compliance in all material respects with all FCC and State PUC universal service rules, including but not limited to filing obligations, universal service assessments, and the rules governing any universal service support received (directly or from customers subsidized under the applicable rules). The Company is in compliance in all material respects with the terms of the letter of assurance filed with the FCC on June 8, 2015 under file number ITC-214-20130119-00017. The Company and its Subsidiaries have paid all regulatory fees, telecommunications relay service fees and other payments required to be made by them prior to the date of this Agreement under the rules or policies of the FCC or any State PUC.</w:t>
      </w:r>
    </w:p>
    <w:p>
      <w:pPr>
        <w:spacing w:after="0" w:line="195" w:lineRule="exact"/>
        <w:rPr>
          <w:sz w:val="20"/>
          <w:szCs w:val="20"/>
          <w:color w:val="auto"/>
        </w:rPr>
      </w:pPr>
    </w:p>
    <w:p>
      <w:pPr>
        <w:ind w:firstLine="987"/>
        <w:spacing w:after="0" w:line="269" w:lineRule="auto"/>
        <w:tabs>
          <w:tab w:leader="none" w:pos="137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and the Company Subsidiaries are and have been since January 1, 2019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(including pursuant to Communications Laws) necessary for the Company and the Company Subsidiaries to own, lease and operate their properties and assets or to carry on their businesses as they are now being conducted (the “</w:t>
      </w:r>
      <w:r>
        <w:rPr>
          <w:rFonts w:ascii="Arial" w:cs="Arial" w:eastAsia="Arial" w:hAnsi="Arial"/>
          <w:sz w:val="17"/>
          <w:szCs w:val="17"/>
          <w:u w:val="single" w:color="auto"/>
          <w:color w:val="auto"/>
        </w:rPr>
        <w:t>Company Permits</w:t>
      </w:r>
      <w:r>
        <w:rPr>
          <w:rFonts w:ascii="Arial" w:cs="Arial" w:eastAsia="Arial" w:hAnsi="Arial"/>
          <w:sz w:val="17"/>
          <w:szCs w:val="17"/>
          <w:color w:val="auto"/>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none of the Company or any Company Subsidiary has received any written notice from any Governmental Entity threatening to suspend, revoke, withdraw or modify any such Company Permit.</w:t>
      </w:r>
    </w:p>
    <w:p>
      <w:pPr>
        <w:spacing w:after="0" w:line="185" w:lineRule="exact"/>
        <w:rPr>
          <w:rFonts w:ascii="Arial" w:cs="Arial" w:eastAsia="Arial" w:hAnsi="Arial"/>
          <w:sz w:val="17"/>
          <w:szCs w:val="17"/>
          <w:color w:val="auto"/>
        </w:rPr>
      </w:pPr>
    </w:p>
    <w:p>
      <w:pPr>
        <w:ind w:right="20" w:firstLine="987"/>
        <w:spacing w:after="0" w:line="255" w:lineRule="auto"/>
        <w:tabs>
          <w:tab w:leader="none" w:pos="137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Section 3.9(c)</w:t>
      </w:r>
      <w:r>
        <w:rPr>
          <w:rFonts w:ascii="Arial" w:cs="Arial" w:eastAsia="Arial" w:hAnsi="Arial"/>
          <w:sz w:val="18"/>
          <w:szCs w:val="18"/>
          <w:color w:val="auto"/>
        </w:rPr>
        <w:t xml:space="preserve"> of the Company Disclosure Letter lists, as of the date hereof, all of the material communications Company Permits (including certificates of public convenience and necessity or similar instruments) used or necessary to operate the business of the Company and its Subsidiaries issued by the FCC, any Foreign Governmental Body, or any State PUC (“</w:t>
      </w:r>
      <w:r>
        <w:rPr>
          <w:rFonts w:ascii="Arial" w:cs="Arial" w:eastAsia="Arial" w:hAnsi="Arial"/>
          <w:sz w:val="18"/>
          <w:szCs w:val="18"/>
          <w:u w:val="single" w:color="auto"/>
          <w:color w:val="auto"/>
        </w:rPr>
        <w:t>Communications Authorizations</w:t>
      </w:r>
      <w:r>
        <w:rPr>
          <w:rFonts w:ascii="Arial" w:cs="Arial" w:eastAsia="Arial" w:hAnsi="Arial"/>
          <w:sz w:val="18"/>
          <w:szCs w:val="18"/>
          <w:color w:val="auto"/>
        </w:rPr>
        <w:t>”). Each Communications Authorization is in full force and effect and has not been revoked, reversed, stayed, set aside, annulled or suspended. The Communications Authorizations are the only material Company Permits required from the FCC, any Foreign Governmental Body, or any applicable State PUC to operate the Company or any of its Subsidiary’s business as currently conducted.</w:t>
      </w:r>
    </w:p>
    <w:p>
      <w:pPr>
        <w:spacing w:after="0" w:line="192" w:lineRule="exact"/>
        <w:rPr>
          <w:rFonts w:ascii="Arial" w:cs="Arial" w:eastAsia="Arial" w:hAnsi="Arial"/>
          <w:sz w:val="18"/>
          <w:szCs w:val="18"/>
          <w:color w:val="auto"/>
        </w:rPr>
      </w:pPr>
    </w:p>
    <w:p>
      <w:pPr>
        <w:ind w:right="100" w:firstLine="987"/>
        <w:spacing w:after="0" w:line="272" w:lineRule="auto"/>
        <w:tabs>
          <w:tab w:leader="none" w:pos="1381"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be material to the Company and the Company Subsidiaries, taken as a whole, since July 1, 2016, neither the Company nor any Company Subsidiary or any of their respective officers, directors, or employees, in connection with the business of the Company or any Company Subsidiary, or, to the Company’s Knowledge, any other third party acting on behalf of the Company or any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8" w:name="page29"/>
    <w:bookmarkEnd w:id="28"/>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value, or an authorization of such offer, promise or payment, directly or indirectly, to any Representative of another company or entity in the course of their business dealings with the Company or any Company Subsidiary, in order to unlawfully induce such Person to act against the interest of his or her employer or principal.</w:t>
      </w:r>
    </w:p>
    <w:p>
      <w:pPr>
        <w:spacing w:after="0" w:line="184" w:lineRule="exact"/>
        <w:rPr>
          <w:sz w:val="20"/>
          <w:szCs w:val="20"/>
          <w:color w:val="auto"/>
        </w:rPr>
      </w:pPr>
    </w:p>
    <w:p>
      <w:pPr>
        <w:ind w:firstLine="987"/>
        <w:spacing w:after="0" w:line="293" w:lineRule="auto"/>
        <w:tabs>
          <w:tab w:leader="none" w:pos="137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the Company Subsidiaries, taken as a whole, since July 1, 2016, neither the Company nor any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any Company Subsidiary in any way relating to applicable Anti-Corruption Laws. The Company has established and maintains a compliance program and reasonable internal controls and procedures appropriate to the requirements of applicable Anti-Corruption Laws.</w:t>
      </w:r>
    </w:p>
    <w:p>
      <w:pPr>
        <w:spacing w:after="0" w:line="164" w:lineRule="exact"/>
        <w:rPr>
          <w:rFonts w:ascii="Arial" w:cs="Arial" w:eastAsia="Arial" w:hAnsi="Arial"/>
          <w:sz w:val="16"/>
          <w:szCs w:val="16"/>
          <w:color w:val="auto"/>
        </w:rPr>
      </w:pPr>
    </w:p>
    <w:p>
      <w:pPr>
        <w:ind w:right="60" w:firstLine="987"/>
        <w:spacing w:after="0" w:line="255" w:lineRule="auto"/>
        <w:tabs>
          <w:tab w:leader="none" w:pos="13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Company and the Company Subsidiaries, taken as a whole, since July 1, 2016, the Company and the Company Subsidiaries have at all times conducted their businesses in all respects in accordance with United States economic sanctions Laws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all other applicable Import Restrictions and Export Controls. Since July 1, 2016, the Company and the Company Subsidiaries have maintained in all material respects all records required to be maintained in the Company’s and the Company Subsidiaries’ possession as required under the Import Restrictions and Export Controls.</w:t>
      </w:r>
    </w:p>
    <w:p>
      <w:pPr>
        <w:spacing w:after="0" w:line="192" w:lineRule="exact"/>
        <w:rPr>
          <w:rFonts w:ascii="Arial" w:cs="Arial" w:eastAsia="Arial" w:hAnsi="Arial"/>
          <w:sz w:val="18"/>
          <w:szCs w:val="18"/>
          <w:color w:val="auto"/>
        </w:rPr>
      </w:pPr>
    </w:p>
    <w:p>
      <w:pPr>
        <w:ind w:right="120" w:firstLine="987"/>
        <w:spacing w:after="0" w:line="287" w:lineRule="auto"/>
        <w:tabs>
          <w:tab w:leader="none" w:pos="138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the Company Subsidiaries, taken as a whole, since July 1, 2016, (i) neither the Company nor any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Subsidiaries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since July 1, 2016. Except as would not, individually or in the aggregate, reasonably be expected to be material to the Company and the Company Subsidiaries, taken as a whole, since July 1, 2016, except pursuant to valid licenses, license exceptions or exemptions, the Company and the Company Subsidiaries have not released or disclosed controlled technical data or technology to any foreign national whether in the United States or abroad, in violation of applicable Export Controls.</w:t>
      </w:r>
    </w:p>
    <w:p>
      <w:pPr>
        <w:spacing w:after="0" w:line="171" w:lineRule="exact"/>
        <w:rPr>
          <w:rFonts w:ascii="Arial" w:cs="Arial" w:eastAsia="Arial" w:hAnsi="Arial"/>
          <w:sz w:val="16"/>
          <w:szCs w:val="16"/>
          <w:color w:val="auto"/>
        </w:rPr>
      </w:pPr>
    </w:p>
    <w:p>
      <w:pPr>
        <w:ind w:right="200" w:firstLine="987"/>
        <w:spacing w:after="0" w:line="308" w:lineRule="auto"/>
        <w:tabs>
          <w:tab w:leader="none" w:pos="1381"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Neither the Company nor any Company Subsidiary, nor any of their respective directors, officers, employees, or, to the Company’s Knowledge, any agent or affiliate of the Company or any Company Subsidiary: (i) is, is controlled by, or is 50% or more owned by,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9" w:name="page30"/>
    <w:bookmarkEnd w:id="2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Persons or entities included on OFAC’s List of Specially Designated Nationals and Blocked Persons, Foreign Sanctions Evaders List, or Sectoral Sanctions Identifications List, or the Department of Commerce’s Denied Persons List, Unverified List, or Entity List, or similar sanctions-related list of designated persons maintained by the United Nations Security Council, the European Union, any Member State of the European Union, or the United Kingdom (irrespective of its status vis-à-vis the European Union) (such entities, Persons or organizations collectively, the “</w:t>
      </w:r>
      <w:r>
        <w:rPr>
          <w:rFonts w:ascii="Arial" w:cs="Arial" w:eastAsia="Arial" w:hAnsi="Arial"/>
          <w:sz w:val="16"/>
          <w:szCs w:val="16"/>
          <w:u w:val="single" w:color="auto"/>
          <w:color w:val="auto"/>
        </w:rPr>
        <w:t>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or (ii) has, since July 1, 2016, conducted any business with or engaged in any transaction or arrangement with or involving, directly or indirectly, any Restricted Parties or countries subject to economic or trade sanctions (currently, Cuba, Iran, North Korea, Syria, and the Crimea region of Ukraine) or persons therein in violation of applicable Law. Except as would not, individually or in the aggregate, reasonably be expected to be material to the Company and the Company Subsidiaries, taken as a whole, neither the Company nor any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Subsidiaries, taken as a whole, neither the Company nor any Company Subsidiary has, since July 1, 2016, been a party to any allegation, claim, investigation, prosecution, or enforcement action related to violations of Export Controls, and to the Company’s Knowledge, there are no actions, conditions or circumstances pertaining to the Company’s or the Company Subsidiaries’ export transactions that would reasonably be expected to give rise to future claims.</w:t>
      </w:r>
    </w:p>
    <w:p>
      <w:pPr>
        <w:spacing w:after="0" w:line="171" w:lineRule="exact"/>
        <w:rPr>
          <w:sz w:val="20"/>
          <w:szCs w:val="20"/>
          <w:color w:val="auto"/>
        </w:rPr>
      </w:pPr>
    </w:p>
    <w:p>
      <w:pPr>
        <w:ind w:left="1340" w:hanging="353"/>
        <w:spacing w:after="0"/>
        <w:tabs>
          <w:tab w:leader="none" w:pos="1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is in compliance in all material respects with the applicable listing and other rules and regulations of Nasdaq.</w:t>
      </w:r>
    </w:p>
    <w:p>
      <w:pPr>
        <w:spacing w:after="0" w:line="236" w:lineRule="exact"/>
        <w:rPr>
          <w:rFonts w:ascii="Arial" w:cs="Arial" w:eastAsia="Arial" w:hAnsi="Arial"/>
          <w:sz w:val="17"/>
          <w:szCs w:val="17"/>
          <w:color w:val="auto"/>
        </w:rPr>
      </w:pPr>
    </w:p>
    <w:p>
      <w:pPr>
        <w:ind w:right="20" w:firstLine="987"/>
        <w:spacing w:after="0" w:line="277" w:lineRule="auto"/>
        <w:tabs>
          <w:tab w:leader="none" w:pos="13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the Company nor any Subsidiary uses network equipment manufactured by any company designated a national security threat by the FCC pursuant to 47 C.F.R. § 54.9(a).</w:t>
      </w:r>
    </w:p>
    <w:p>
      <w:pPr>
        <w:spacing w:after="0" w:line="170" w:lineRule="exact"/>
        <w:rPr>
          <w:rFonts w:ascii="Arial" w:cs="Arial" w:eastAsia="Arial" w:hAnsi="Arial"/>
          <w:sz w:val="18"/>
          <w:szCs w:val="18"/>
          <w:color w:val="auto"/>
        </w:rPr>
      </w:pPr>
    </w:p>
    <w:p>
      <w:pPr>
        <w:jc w:val="both"/>
        <w:ind w:firstLine="987"/>
        <w:spacing w:after="0" w:line="259" w:lineRule="auto"/>
        <w:tabs>
          <w:tab w:leader="none" w:pos="13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material interconnection and other intercarrier agreements required for the Company and its Subsidiaries to conduct their business as currently conducted are in full force and effect as of the date hereof. No party to any such agreement has requested renegotiation of such agreement or provided notice of termination of such agreement (failures to renew upon expiration shall not be deemed to be a termination), and the Company is in compliance with all material terms of such agreements.</w:t>
      </w:r>
    </w:p>
    <w:p>
      <w:pPr>
        <w:spacing w:after="0" w:line="29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117" w:lineRule="exact"/>
        <w:rPr>
          <w:sz w:val="20"/>
          <w:szCs w:val="20"/>
          <w:color w:val="auto"/>
        </w:rPr>
      </w:pPr>
    </w:p>
    <w:p>
      <w:pPr>
        <w:ind w:right="120" w:firstLine="987"/>
        <w:spacing w:after="0" w:line="255" w:lineRule="auto"/>
        <w:tabs>
          <w:tab w:leader="none" w:pos="137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of the Company Disclosure Letter sets forth each material Company Benefit Plan (excluding at-will offer letters or agreements made in the ordinary course of business on the Company’s standard form that has been provided to Parent, in each case that are cancellable without severance or other similar cost or liability to the Company upon thirty (30) days’ or less notice (other than any statutory severance obligations) and any Company Benefit Plan that is governed by applicable Law). For purposes of this Agreement, “</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means each employee benefit plan (as defined in Section 3(3) of ERISA), whether or not subject to ERISA, and each bonus, stock, stock option or other equity-based compensation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0" w:name="page31"/>
    <w:bookmarkEnd w:id="30"/>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arrangement or plan, incentive, deferred compensation, retirement or supplemental retirement, severance, employment, consulting, change-in-control, collective bargaining,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for the benefit of current or former employees, directors or individual consultants (or any other Person contracted to provide services that is controlled by an individual consultant) (or any dependent or beneficiary thereof) of the Company or any Company Subsidiary or with respect to which the Company or any Company Subsidiary has or may have any obligation or liability (whether actual or contingent, including on account of any ERISA Affiliate). With respect to each material Company Benefit Plan, the Company has made available to Parent correct and complete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filings and correspondence with any Governmental Entity and (v) all material related agreements, insurance contracts and other agreements which implement each such Company Benefit Plan.</w:t>
      </w:r>
    </w:p>
    <w:p>
      <w:pPr>
        <w:spacing w:after="0" w:line="179" w:lineRule="exact"/>
        <w:rPr>
          <w:sz w:val="20"/>
          <w:szCs w:val="20"/>
          <w:color w:val="auto"/>
        </w:rPr>
      </w:pPr>
    </w:p>
    <w:p>
      <w:pPr>
        <w:ind w:firstLine="987"/>
        <w:spacing w:after="0" w:line="289" w:lineRule="auto"/>
        <w:tabs>
          <w:tab w:leader="none" w:pos="13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each of the Company Benefit Plans has been operated and administered in accordance with its terms and in compliance with applicable Law, including ERISA, the Code and, in each case, the regulations thereunder. No liability under Title IV of ERISA has been incurred by the Company, the Company Subsidiaries or any of their respective ERISA Affiliates that has not been satisfied in full, and to the Company’s Knowledge no condition exists that is likely to cause the Company, the Company Subsidiaries or any of their ERISA Affiliates to incur any such liability. All material contributions or other material amounts payable by the Company or the Company Subsidiaries pursuant to each Company Benefit Plan in respect of current or prior plan years have been timely paid or accrued in accordance with GAAP or applicable international accounting standards. There are no pending, or to the Company’s Knowledge, threatened or anticipated claims, actions, investigations or audits (other than routine claims for benefits) by, on behalf of or against any of the Company Benefit Plans or any trusts related thereto that would result in a material liability.</w:t>
      </w:r>
    </w:p>
    <w:p>
      <w:pPr>
        <w:spacing w:after="0" w:line="166" w:lineRule="exact"/>
        <w:rPr>
          <w:rFonts w:ascii="Arial" w:cs="Arial" w:eastAsia="Arial" w:hAnsi="Arial"/>
          <w:sz w:val="16"/>
          <w:szCs w:val="16"/>
          <w:color w:val="auto"/>
        </w:rPr>
      </w:pPr>
    </w:p>
    <w:p>
      <w:pPr>
        <w:ind w:right="260" w:firstLine="987"/>
        <w:spacing w:after="0" w:line="263" w:lineRule="auto"/>
        <w:tabs>
          <w:tab w:leader="none" w:pos="13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Within the last six (6) years, no Company Benefit Plan has been an employee benefit plan subject to Section 302 or Title IV of ERISA or Section 412, 430 or 4971 of the Code. None of the Company, its Subsidiaries or any of their respective ERISA Affiliates has incurred or is reasonably expected to incur any Controlled Group Liability that has not been satisfied in full.</w:t>
      </w:r>
    </w:p>
    <w:p>
      <w:pPr>
        <w:spacing w:after="0" w:line="183" w:lineRule="exact"/>
        <w:rPr>
          <w:rFonts w:ascii="Arial" w:cs="Arial" w:eastAsia="Arial" w:hAnsi="Arial"/>
          <w:sz w:val="18"/>
          <w:szCs w:val="18"/>
          <w:color w:val="auto"/>
        </w:rPr>
      </w:pPr>
    </w:p>
    <w:p>
      <w:pPr>
        <w:ind w:firstLine="987"/>
        <w:spacing w:after="0" w:line="311" w:lineRule="auto"/>
        <w:tabs>
          <w:tab w:leader="none" w:pos="13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Neither the Company, its Subsidiaries nor any of their respective ERISA Affiliates has, at any time during the preceding six (6) years, contributed to, been obligated to contribute to or had any liability (including any contingent liability) with respect to any Multiemployer Plan or a plan that has two (2) or more contributing sponsors, at least two (2) of whom are not under common control, within the meaning of Section 4063 of ERISA.</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1" w:name="page32"/>
    <w:bookmarkEnd w:id="31"/>
    <w:p>
      <w:pPr>
        <w:ind w:left="4" w:firstLine="987"/>
        <w:spacing w:after="0" w:line="286" w:lineRule="auto"/>
        <w:tabs>
          <w:tab w:leader="none" w:pos="1375" w:val="left"/>
        </w:tabs>
        <w:numPr>
          <w:ilvl w:val="1"/>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Company Benefit Plan provides benefits, including death or medical benefits (whether or not insured), with respect to current or former employees or directors of the Company or the Company Subsidiaries beyond their retirement or other termination of service, other than coverage mandated by the Consolidated Omnibus Budget Reconciliation Act of 1985, as amended, or comparable U.S. state Law.</w:t>
      </w:r>
    </w:p>
    <w:p>
      <w:pPr>
        <w:spacing w:after="0" w:line="165" w:lineRule="exact"/>
        <w:rPr>
          <w:rFonts w:ascii="Arial" w:cs="Arial" w:eastAsia="Arial" w:hAnsi="Arial"/>
          <w:sz w:val="17"/>
          <w:szCs w:val="17"/>
          <w:color w:val="auto"/>
        </w:rPr>
      </w:pPr>
    </w:p>
    <w:p>
      <w:pPr>
        <w:ind w:left="4" w:right="220" w:firstLine="987"/>
        <w:spacing w:after="0" w:line="259" w:lineRule="auto"/>
        <w:tabs>
          <w:tab w:leader="none" w:pos="135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 Each of the Company Benefit Plans that is intended to be “qualified” within the meaning of Section 401(a) of the Code has received a favorable determination letter or opinion letter as to its qualification and (ii) to the Company’s Knowledge, there are no existing circumstances or any events that have occurred that would reasonably be expected to adversely affect the qualified status of any such plan. Each such favorable determination letter has been provided or made available to Parent.</w:t>
      </w:r>
    </w:p>
    <w:p>
      <w:pPr>
        <w:spacing w:after="0" w:line="186" w:lineRule="exact"/>
        <w:rPr>
          <w:rFonts w:ascii="Arial" w:cs="Arial" w:eastAsia="Arial" w:hAnsi="Arial"/>
          <w:sz w:val="18"/>
          <w:szCs w:val="18"/>
          <w:color w:val="auto"/>
        </w:rPr>
      </w:pPr>
    </w:p>
    <w:p>
      <w:pPr>
        <w:ind w:left="4" w:right="120" w:firstLine="987"/>
        <w:spacing w:after="0" w:line="286" w:lineRule="auto"/>
        <w:tabs>
          <w:tab w:leader="none" w:pos="1385" w:val="left"/>
        </w:tabs>
        <w:numPr>
          <w:ilvl w:val="1"/>
          <w:numId w:val="35"/>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any employee of the Company or any Company Subsidiary under any Company Benefit Plan or otherwise, (ii) increase any benefits otherwise payable under any Company Benefit Plan,</w:t>
      </w:r>
    </w:p>
    <w:p>
      <w:pPr>
        <w:spacing w:after="0" w:line="1" w:lineRule="exact"/>
        <w:rPr>
          <w:rFonts w:ascii="Arial" w:cs="Arial" w:eastAsia="Arial" w:hAnsi="Arial"/>
          <w:sz w:val="16"/>
          <w:szCs w:val="16"/>
          <w:color w:val="auto"/>
        </w:rPr>
      </w:pPr>
    </w:p>
    <w:p>
      <w:pPr>
        <w:ind w:left="4" w:right="100" w:hanging="4"/>
        <w:spacing w:after="0" w:line="253" w:lineRule="auto"/>
        <w:tabs>
          <w:tab w:leader="none" w:pos="3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 in any acceleration of the time of payment, funding or vesting of any such benefits,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p>
    <w:p>
      <w:pPr>
        <w:spacing w:after="0" w:line="190" w:lineRule="exact"/>
        <w:rPr>
          <w:rFonts w:ascii="Arial" w:cs="Arial" w:eastAsia="Arial" w:hAnsi="Arial"/>
          <w:sz w:val="18"/>
          <w:szCs w:val="18"/>
          <w:color w:val="auto"/>
        </w:rPr>
      </w:pPr>
    </w:p>
    <w:p>
      <w:pPr>
        <w:ind w:left="4" w:right="120" w:firstLine="987"/>
        <w:spacing w:after="0" w:line="286" w:lineRule="auto"/>
        <w:tabs>
          <w:tab w:leader="none" w:pos="138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that is intended to be funded or book-reserved are fully funded or book reserved, as appropriate, based upon reasonable actuarial assumptions.</w:t>
      </w:r>
    </w:p>
    <w:p>
      <w:pPr>
        <w:spacing w:after="0" w:line="233" w:lineRule="exact"/>
        <w:rPr>
          <w:rFonts w:ascii="Arial" w:cs="Arial" w:eastAsia="Arial" w:hAnsi="Arial"/>
          <w:sz w:val="16"/>
          <w:szCs w:val="16"/>
          <w:color w:val="auto"/>
        </w:rPr>
      </w:pPr>
    </w:p>
    <w:p>
      <w:pPr>
        <w:ind w:left="4" w:right="180" w:firstLine="987"/>
        <w:spacing w:after="0" w:line="277" w:lineRule="auto"/>
        <w:tabs>
          <w:tab w:leader="none" w:pos="1345"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Company Benefit Plan has been maintained and operated in documentary and operational compliance in all materials respects with Section 409A of the Code or an available exemption therefrom.</w:t>
      </w:r>
    </w:p>
    <w:p>
      <w:pPr>
        <w:spacing w:after="0" w:line="170" w:lineRule="exact"/>
        <w:rPr>
          <w:rFonts w:ascii="Arial" w:cs="Arial" w:eastAsia="Arial" w:hAnsi="Arial"/>
          <w:sz w:val="18"/>
          <w:szCs w:val="18"/>
          <w:color w:val="auto"/>
        </w:rPr>
      </w:pPr>
    </w:p>
    <w:p>
      <w:pPr>
        <w:ind w:left="4" w:right="80" w:firstLine="987"/>
        <w:spacing w:after="0" w:line="308" w:lineRule="auto"/>
        <w:tabs>
          <w:tab w:leader="none" w:pos="1342"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Company is not a party to nor does it have any obligation under any Company Benefit Plan to compensate any Person for excise Taxes payable pursuant to Section 4999 of the Code or for additional Taxes payable pursuant to Section 409A of the Code.</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32" w:name="page33"/>
    <w:bookmarkEnd w:id="32"/>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3.11.</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301" w:lineRule="auto"/>
        <w:tabs>
          <w:tab w:leader="none" w:pos="1371"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a party to, or bound by, any collective bargaining agreement or other Contract with a labor union, works council or labor organization. Neither the Company nor any Company Subsidiary is (or has during the past two (2) years been) subject to a material labor dispute, strike or work stoppage. There are no organizational efforts with respect to the formation of a collective bargaining unit presently being made or, to the Company’s Knowledge, threatened involving employees of the Company or any Company Subsidiary.</w:t>
      </w:r>
    </w:p>
    <w:p>
      <w:pPr>
        <w:spacing w:after="0" w:line="157" w:lineRule="exact"/>
        <w:rPr>
          <w:rFonts w:ascii="Arial" w:cs="Arial" w:eastAsia="Arial" w:hAnsi="Arial"/>
          <w:sz w:val="16"/>
          <w:szCs w:val="16"/>
          <w:color w:val="auto"/>
        </w:rPr>
      </w:pPr>
    </w:p>
    <w:p>
      <w:pPr>
        <w:ind w:right="20" w:firstLine="987"/>
        <w:spacing w:after="0" w:line="296" w:lineRule="auto"/>
        <w:tabs>
          <w:tab w:leader="none" w:pos="137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and each Company Subsidiary are and have been since January 1, 2019 in compliance with all applicable Law respecting labor and employment, including, without limitation, immigration, fair employment practices, terms and conditions of employment, workers’ compensation, occupational safety, plant closings, mass layoffs, worker classification, sexual harassment, discrimination, exempt and non-exempt status, compensation and benefits, wages and hours and the Worker Adjustment and Retraining Notification Act of 1988, as amended, except where such non-compliance has not had, and would not reasonably be expected to have, individually or in the aggregate a Company Material Adverse Effect.</w:t>
      </w:r>
    </w:p>
    <w:p>
      <w:pPr>
        <w:spacing w:after="0" w:line="161" w:lineRule="exact"/>
        <w:rPr>
          <w:rFonts w:ascii="Arial" w:cs="Arial" w:eastAsia="Arial" w:hAnsi="Arial"/>
          <w:sz w:val="16"/>
          <w:szCs w:val="16"/>
          <w:color w:val="auto"/>
        </w:rPr>
      </w:pPr>
    </w:p>
    <w:p>
      <w:pPr>
        <w:ind w:right="120" w:firstLine="987"/>
        <w:spacing w:after="0" w:line="259" w:lineRule="auto"/>
        <w:tabs>
          <w:tab w:leader="none" w:pos="13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Company’s Knowledge, in the last five (5) years, (i) no allegations of discrimination, harassment, or sexual harassment have been made against any employee at the level of Vice President or above, and (ii) neither the Company nor any of the Subsidiaries have entered into any settlement agreements related to allegations of discrimination, harassment, or sexual harassment or misconduct by any employee at the level of Vice President or above.</w:t>
      </w:r>
    </w:p>
    <w:p>
      <w:pPr>
        <w:spacing w:after="0" w:line="29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17" w:lineRule="exact"/>
        <w:rPr>
          <w:sz w:val="20"/>
          <w:szCs w:val="20"/>
          <w:color w:val="auto"/>
        </w:rPr>
      </w:pPr>
    </w:p>
    <w:p>
      <w:pPr>
        <w:ind w:right="240" w:firstLine="987"/>
        <w:spacing w:after="0" w:line="259" w:lineRule="auto"/>
        <w:tabs>
          <w:tab w:leader="none" w:pos="13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the Company Subsidiaries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w:t>
      </w:r>
    </w:p>
    <w:p>
      <w:pPr>
        <w:spacing w:after="0" w:line="186" w:lineRule="exact"/>
        <w:rPr>
          <w:rFonts w:ascii="Arial" w:cs="Arial" w:eastAsia="Arial" w:hAnsi="Arial"/>
          <w:sz w:val="18"/>
          <w:szCs w:val="18"/>
          <w:color w:val="auto"/>
        </w:rPr>
      </w:pPr>
    </w:p>
    <w:p>
      <w:pPr>
        <w:ind w:right="200" w:firstLine="987"/>
        <w:spacing w:after="0" w:line="259" w:lineRule="auto"/>
        <w:tabs>
          <w:tab w:leader="none" w:pos="13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the Company Subsidiaries have timely paid in full to the appropriate Governmental Entity all Taxes required to be paid by any of them, and the financial statements of the Company and the Company Subsidiaries reflect full and adequate reserves, in accordance with GAAP, for all Taxes accrued but not yet paid by the Company or any Company Subsidiary.</w:t>
      </w:r>
    </w:p>
    <w:p>
      <w:pPr>
        <w:spacing w:after="0" w:line="186" w:lineRule="exact"/>
        <w:rPr>
          <w:rFonts w:ascii="Arial" w:cs="Arial" w:eastAsia="Arial" w:hAnsi="Arial"/>
          <w:sz w:val="18"/>
          <w:szCs w:val="18"/>
          <w:color w:val="auto"/>
        </w:rPr>
      </w:pPr>
    </w:p>
    <w:p>
      <w:pPr>
        <w:ind w:right="60" w:firstLine="987"/>
        <w:spacing w:after="0" w:line="275" w:lineRule="auto"/>
        <w:tabs>
          <w:tab w:leader="none" w:pos="136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and the Company Subsidiaries have (i) timely paid, deducted, withheld and collected all material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3" w:name="page34"/>
    <w:bookmarkEnd w:id="33"/>
    <w:p>
      <w:pPr>
        <w:ind w:right="80" w:firstLine="987"/>
        <w:spacing w:after="0" w:line="255" w:lineRule="auto"/>
        <w:tabs>
          <w:tab w:leader="none" w:pos="1378"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(i) claim, litigation, audit, examination, investigation or other proceeding pending or, to the Knowledge of the Company, threatened in writing with respect to any Taxes or Tax Returns of the Company or any Company Subsidiary, or (ii) deficiency or adjustment for any amount of Taxes that has been proposed, asserted or assessed by any Governmental Entity against the Company or any Company Subsidiary and that has not been fully satisfied by payment, in each case, except, solely with respect to any such claim, litigation, audit, examination, investigation, or other Proceeding arising after the date hereof, has not had and would not reasonably be expected to have, individually or in the aggregate, a Company Material Adverse Effect.</w:t>
      </w:r>
    </w:p>
    <w:p>
      <w:pPr>
        <w:spacing w:after="0" w:line="192" w:lineRule="exact"/>
        <w:rPr>
          <w:rFonts w:ascii="Arial" w:cs="Arial" w:eastAsia="Arial" w:hAnsi="Arial"/>
          <w:sz w:val="18"/>
          <w:szCs w:val="18"/>
          <w:color w:val="auto"/>
        </w:rPr>
      </w:pPr>
    </w:p>
    <w:p>
      <w:pPr>
        <w:ind w:firstLine="987"/>
        <w:spacing w:after="0" w:line="259" w:lineRule="auto"/>
        <w:tabs>
          <w:tab w:leader="none" w:pos="14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waived any statute of limitations with respect to any material Taxes or agreed to any extension of time with respect to a material amount of Tax assessment or deficiency (excluding extensions of time obtained by the Company or any Company Subsidiary in connection with extensions obtained in the ordinary course of business consistent with past practice for the filing of Tax Returns), which waiver or extension is still in effect.</w:t>
      </w:r>
    </w:p>
    <w:p>
      <w:pPr>
        <w:spacing w:after="0" w:line="186" w:lineRule="exact"/>
        <w:rPr>
          <w:rFonts w:ascii="Arial" w:cs="Arial" w:eastAsia="Arial" w:hAnsi="Arial"/>
          <w:sz w:val="18"/>
          <w:szCs w:val="18"/>
          <w:color w:val="auto"/>
        </w:rPr>
      </w:pPr>
    </w:p>
    <w:p>
      <w:pPr>
        <w:ind w:right="80" w:firstLine="987"/>
        <w:spacing w:after="0" w:line="342" w:lineRule="auto"/>
        <w:tabs>
          <w:tab w:leader="none" w:pos="13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123" w:lineRule="exact"/>
        <w:rPr>
          <w:rFonts w:ascii="Arial" w:cs="Arial" w:eastAsia="Arial" w:hAnsi="Arial"/>
          <w:sz w:val="16"/>
          <w:szCs w:val="16"/>
          <w:color w:val="auto"/>
        </w:rPr>
      </w:pPr>
    </w:p>
    <w:p>
      <w:pPr>
        <w:ind w:right="80" w:firstLine="987"/>
        <w:spacing w:after="0" w:line="296" w:lineRule="auto"/>
        <w:tabs>
          <w:tab w:leader="none" w:pos="13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None of the Company or any Company Subsidiary (i) is a party to or bound by, or has any obligation under, any Tax allocation, sharing, indemnity, or reimbursement agreement or arrangement (other than any customary Tax indemnification provisions in ordinary course commercial agreements not primarily related to Taxes, and other than any agreement or arrangement solely among the Company and the Company Subsidiaries), or (ii) has any material liability for Taxes of any Person (other than the Company or any Company Subsidiary) under Treasury Regulations Section 1.1502-6 (or any similar provision of state, local, or non-U.S. Law) or as transferee or successor, or otherwise by operation of Law.</w:t>
      </w:r>
    </w:p>
    <w:p>
      <w:pPr>
        <w:spacing w:after="0" w:line="161" w:lineRule="exact"/>
        <w:rPr>
          <w:rFonts w:ascii="Arial" w:cs="Arial" w:eastAsia="Arial" w:hAnsi="Arial"/>
          <w:sz w:val="16"/>
          <w:szCs w:val="16"/>
          <w:color w:val="auto"/>
        </w:rPr>
      </w:pPr>
    </w:p>
    <w:p>
      <w:pPr>
        <w:ind w:right="560" w:firstLine="987"/>
        <w:spacing w:after="0" w:line="277" w:lineRule="auto"/>
        <w:tabs>
          <w:tab w:leader="none" w:pos="13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are no Liens in respect of or on account of material Taxes upon any property or assets of the Company or any Company Subsidiary, other than Permitted Liens.</w:t>
      </w:r>
    </w:p>
    <w:p>
      <w:pPr>
        <w:spacing w:after="0" w:line="170" w:lineRule="exact"/>
        <w:rPr>
          <w:rFonts w:ascii="Arial" w:cs="Arial" w:eastAsia="Arial" w:hAnsi="Arial"/>
          <w:sz w:val="18"/>
          <w:szCs w:val="18"/>
          <w:color w:val="auto"/>
        </w:rPr>
      </w:pPr>
    </w:p>
    <w:p>
      <w:pPr>
        <w:ind w:right="240" w:firstLine="987"/>
        <w:spacing w:after="0" w:line="263" w:lineRule="auto"/>
        <w:tabs>
          <w:tab w:leader="none" w:pos="13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Within the last six (6) years, no claim has been made in writing by any Tax authority in a jurisdiction where the Company or any Company Subsidiary has not filed Tax Returns of a particular type that the Company or any Company Subsidiary is or may be subject to material Tax by, or required to file Tax Returns with respect to material Taxes in, such jurisdiction.</w:t>
      </w:r>
    </w:p>
    <w:p>
      <w:pPr>
        <w:spacing w:after="0" w:line="183" w:lineRule="exact"/>
        <w:rPr>
          <w:rFonts w:ascii="Arial" w:cs="Arial" w:eastAsia="Arial" w:hAnsi="Arial"/>
          <w:sz w:val="18"/>
          <w:szCs w:val="18"/>
          <w:color w:val="auto"/>
        </w:rPr>
      </w:pPr>
    </w:p>
    <w:p>
      <w:pPr>
        <w:ind w:right="160" w:firstLine="987"/>
        <w:spacing w:after="0" w:line="263" w:lineRule="auto"/>
        <w:tabs>
          <w:tab w:leader="none" w:pos="13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bound with respect to the current or any future taxable period by any closing agreement (within the meaning of Section 7121(a) of the Code or any similar or analogous provision of state, local or non-U.S. Law) or other ruling or written agreement with a Tax authority, in each case, with respect to material Taxes.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4" w:name="page35"/>
    <w:bookmarkEnd w:id="34"/>
    <w:p>
      <w:pPr>
        <w:ind w:right="520" w:firstLine="987"/>
        <w:spacing w:after="0" w:line="277" w:lineRule="auto"/>
        <w:tabs>
          <w:tab w:leader="none" w:pos="1381"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Company Subsidiary has participated in any “listed transaction” within the meaning of Treasury Regulations Section 1.6011-4(b)(2) (or any similar provision of state, local or non-U.S. Law).</w:t>
      </w:r>
    </w:p>
    <w:p>
      <w:pPr>
        <w:spacing w:after="0" w:line="170" w:lineRule="exact"/>
        <w:rPr>
          <w:rFonts w:ascii="Arial" w:cs="Arial" w:eastAsia="Arial" w:hAnsi="Arial"/>
          <w:sz w:val="18"/>
          <w:szCs w:val="18"/>
          <w:color w:val="auto"/>
        </w:rPr>
      </w:pPr>
    </w:p>
    <w:p>
      <w:pPr>
        <w:ind w:firstLine="987"/>
        <w:spacing w:after="0" w:line="272" w:lineRule="auto"/>
        <w:tabs>
          <w:tab w:leader="none" w:pos="133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and the Company Subsidiaries (i) have not deferred, extended or delayed the payment of the employer’s share of any “applicable employment taxes” under Section 2302 of the CARES Act, (ii) have properly complied with and duly accounted for all credits received under Sections 7001 through 7005 of the Families First Coronavirus Response Act (Public Law 116-127) and Section 2301 of the CARES Act, (iii) have not deferred any payroll tax obligations (including those imposed by Section 3101(a) and 3201 of the Code) (for example, by failure to timely withhold, deposit or remit such amounts in accordance with the applicable provisions of the Code and the Treasury Regulations promulgated thereunder) pursuant to or in connection with the Payroll Tax Executive Order, and (iv) have not sought, and do not intend to seek, a covered loan under paragraph (36) of Section 7(a) of the Small Business Act (15 U.S.C. 636(a)), as added by Section 1102 of the CARES Act.</w:t>
      </w:r>
    </w:p>
    <w:p>
      <w:pPr>
        <w:spacing w:after="0" w:line="177" w:lineRule="exact"/>
        <w:rPr>
          <w:rFonts w:ascii="Arial" w:cs="Arial" w:eastAsia="Arial" w:hAnsi="Arial"/>
          <w:sz w:val="17"/>
          <w:szCs w:val="17"/>
          <w:color w:val="auto"/>
        </w:rPr>
      </w:pPr>
    </w:p>
    <w:p>
      <w:pPr>
        <w:ind w:firstLine="987"/>
        <w:spacing w:after="0" w:line="257" w:lineRule="auto"/>
        <w:tabs>
          <w:tab w:leader="none" w:pos="14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 prepaid amount received (or deferred revenue recognized) or paid, prior to the Closing Date, or (C) an election under Section 108(i) of the Code (or any similar provision of state, local, or non-U.S. Law) nor (ii) has made an election pursuant to Section 965(h) of the Code.</w:t>
      </w:r>
    </w:p>
    <w:p>
      <w:pPr>
        <w:spacing w:after="0" w:line="187" w:lineRule="exact"/>
        <w:rPr>
          <w:rFonts w:ascii="Arial" w:cs="Arial" w:eastAsia="Arial" w:hAnsi="Arial"/>
          <w:sz w:val="18"/>
          <w:szCs w:val="18"/>
          <w:color w:val="auto"/>
        </w:rPr>
      </w:pPr>
    </w:p>
    <w:p>
      <w:pPr>
        <w:ind w:firstLine="987"/>
        <w:spacing w:after="0" w:line="301" w:lineRule="auto"/>
        <w:tabs>
          <w:tab w:leader="none" w:pos="13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of the Company’s currently outstanding financial instruments that it has treated as debt for U.S. federal income tax or financial accounting purposes (by deducting the interest, financial statement presentation, or otherwise) have not been treated as other than debt for any purpose, and, except to the extent otherwise required by a change in applicable Law or GAAP after the date hereof, will continue to be treated by the Company as debt for U.S. federal income tax or financial accounting purposes at all times through and immediately after the Effective Time.</w:t>
      </w:r>
    </w:p>
    <w:p>
      <w:pPr>
        <w:spacing w:after="0" w:line="157" w:lineRule="exact"/>
        <w:rPr>
          <w:rFonts w:ascii="Arial" w:cs="Arial" w:eastAsia="Arial" w:hAnsi="Arial"/>
          <w:sz w:val="16"/>
          <w:szCs w:val="16"/>
          <w:color w:val="auto"/>
        </w:rPr>
      </w:pPr>
    </w:p>
    <w:p>
      <w:pPr>
        <w:ind w:firstLine="987"/>
        <w:spacing w:after="0" w:line="259" w:lineRule="auto"/>
        <w:tabs>
          <w:tab w:leader="none" w:pos="13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Neither the Company nor any Company Subsidiary is aware of the existence of any fact, or has taken or agreed to take any action, that would reasonably be expected to (i) prevent or impede the Merger from qualifying as a “reorganization” within the meaning of Section 368(a) of the Code or (ii) prevent or preclude the Company from delivering the Company Tax Representation Letter to Parent Counsel and Company Counsel in accordance with </w:t>
      </w:r>
      <w:r>
        <w:rPr>
          <w:rFonts w:ascii="Arial" w:cs="Arial" w:eastAsia="Arial" w:hAnsi="Arial"/>
          <w:sz w:val="18"/>
          <w:szCs w:val="18"/>
          <w:u w:val="single" w:color="auto"/>
          <w:color w:val="auto"/>
        </w:rPr>
        <w:t>Section 6.14(b)</w:t>
      </w:r>
      <w:r>
        <w:rPr>
          <w:rFonts w:ascii="Arial" w:cs="Arial" w:eastAsia="Arial" w:hAnsi="Arial"/>
          <w:sz w:val="18"/>
          <w:szCs w:val="18"/>
          <w:color w:val="auto"/>
        </w:rPr>
        <w:t>.</w:t>
      </w:r>
    </w:p>
    <w:p>
      <w:pPr>
        <w:spacing w:after="0" w:line="18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Litigation; Orders</w:t>
      </w:r>
      <w:r>
        <w:rPr>
          <w:rFonts w:ascii="Arial" w:cs="Arial" w:eastAsia="Arial" w:hAnsi="Arial"/>
          <w:sz w:val="18"/>
          <w:szCs w:val="18"/>
          <w:color w:val="auto"/>
        </w:rPr>
        <w:t>. As of the date hereof, there are no Proceedings pending or, to the Company’s Knowledge, threatened against the Company or any Company Subsidiary or any of their respective properties, rights or assets by or before, and there are no orders, judgments or decrees of or settlement agreements with, any Governmental Entity, that are or would reasonably be expected to be, individually or in the aggregate, material to the Company and the Company Subsidiaries, taken as a whole.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5" w:name="page36"/>
    <w:bookmarkEnd w:id="35"/>
    <w:p>
      <w:pPr>
        <w:ind w:left="444"/>
        <w:spacing w:after="0"/>
        <w:tabs>
          <w:tab w:leader="none" w:pos="1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87" w:lineRule="auto"/>
        <w:tabs>
          <w:tab w:leader="none" w:pos="1375"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Company Disclosure Letter sets forth a complete and accurate list as of the date hereof of all: (i) patents and patent applications, (ii) registered trademarks, service marks, trade dress, logos, slogans, brand names, trade names and corporate names and applications therefor, (iii) domain name and social media handle registrations, (iv) copyright registrations and applications for copyright registration, and</w:t>
      </w:r>
    </w:p>
    <w:p>
      <w:pPr>
        <w:spacing w:after="0" w:line="2" w:lineRule="exact"/>
        <w:rPr>
          <w:rFonts w:ascii="Arial" w:cs="Arial" w:eastAsia="Arial" w:hAnsi="Arial"/>
          <w:sz w:val="16"/>
          <w:szCs w:val="16"/>
          <w:color w:val="auto"/>
        </w:rPr>
      </w:pPr>
    </w:p>
    <w:p>
      <w:pPr>
        <w:ind w:left="4" w:right="40" w:hanging="4"/>
        <w:spacing w:after="0" w:line="253"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Intellectual Property that is the subject of an application, certificate, filing, registration or other document issued by, filed with, or recorded by the Company or any Company Subsidiary with any state, government or other public authority, in each case, that are owned by, filed in the name of, applied for by, or subject to a valid obligation of assignment to, the Company or any Company Subsidiary, whether wholly or jointly owned (the “</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4" w:right="200" w:firstLine="987"/>
        <w:spacing w:after="0" w:line="255" w:lineRule="auto"/>
        <w:tabs>
          <w:tab w:leader="none" w:pos="138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solely owns, or is the exclusive licensee of, each item of Company Intellectual Property free and clear of all Liens, other than Permitted Liens. Each material item of Company Registered Intellectual Property is subsisting and has not expired, been cancelled, or been abandoned. To the Knowledge of the Company and each Company Subsidiary, each material item of Company Intellectual Property is valid and enforceable. No Proceeding (other than office actions in connection with the prosecution of applications) is pending or, to the Company’s Knowledge, threatened by or before any Governmental Entity, that challenges the legality, validity, enforceability, registration, use or ownership of any item of Company Intellectual Property.</w:t>
      </w:r>
    </w:p>
    <w:p>
      <w:pPr>
        <w:spacing w:after="0" w:line="192" w:lineRule="exact"/>
        <w:rPr>
          <w:rFonts w:ascii="Arial" w:cs="Arial" w:eastAsia="Arial" w:hAnsi="Arial"/>
          <w:sz w:val="18"/>
          <w:szCs w:val="18"/>
          <w:color w:val="auto"/>
        </w:rPr>
      </w:pPr>
    </w:p>
    <w:p>
      <w:pPr>
        <w:jc w:val="both"/>
        <w:ind w:left="4" w:right="220" w:firstLine="987"/>
        <w:spacing w:after="0" w:line="259" w:lineRule="auto"/>
        <w:tabs>
          <w:tab w:leader="none" w:pos="1375" w:val="left"/>
        </w:tabs>
        <w:numPr>
          <w:ilvl w:val="1"/>
          <w:numId w:val="43"/>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granted or transferred (or is obligated to grant or transfer) to any Person or has permitted (or is obligated to permit) any Person to retain any ownership interest, including any joint ownership interest, or any exclusive rights, in any Intellectual Property that is or was Company Intellectual Property and is material to the current conduct of the business of the Company and the Company Subsidiaries, taken as a whole.</w:t>
      </w:r>
    </w:p>
    <w:p>
      <w:pPr>
        <w:spacing w:after="0" w:line="186" w:lineRule="exact"/>
        <w:rPr>
          <w:rFonts w:ascii="Arial" w:cs="Arial" w:eastAsia="Arial" w:hAnsi="Arial"/>
          <w:sz w:val="18"/>
          <w:szCs w:val="18"/>
          <w:color w:val="auto"/>
        </w:rPr>
      </w:pPr>
    </w:p>
    <w:p>
      <w:pPr>
        <w:ind w:left="4" w:right="280" w:firstLine="987"/>
        <w:spacing w:after="0" w:line="263" w:lineRule="auto"/>
        <w:tabs>
          <w:tab w:leader="none" w:pos="138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and Company Subsidiaries may exercise, transfer, or license the Company Intellectual Property without material restriction or material payment to any Person; provided that the foregoing may not be deemed a representation or warranty regarding infringement or misappropriation.</w:t>
      </w:r>
    </w:p>
    <w:p>
      <w:pPr>
        <w:spacing w:after="0" w:line="183" w:lineRule="exact"/>
        <w:rPr>
          <w:rFonts w:ascii="Arial" w:cs="Arial" w:eastAsia="Arial" w:hAnsi="Arial"/>
          <w:sz w:val="18"/>
          <w:szCs w:val="18"/>
          <w:color w:val="auto"/>
        </w:rPr>
      </w:pPr>
    </w:p>
    <w:p>
      <w:pPr>
        <w:ind w:left="4" w:right="100" w:firstLine="987"/>
        <w:spacing w:after="0" w:line="271" w:lineRule="auto"/>
        <w:tabs>
          <w:tab w:leader="none" w:pos="1365" w:val="left"/>
        </w:tabs>
        <w:numPr>
          <w:ilvl w:val="1"/>
          <w:numId w:val="43"/>
        </w:numPr>
        <w:rPr>
          <w:rFonts w:ascii="Arial" w:cs="Arial" w:eastAsia="Arial" w:hAnsi="Arial"/>
          <w:sz w:val="17"/>
          <w:szCs w:val="17"/>
          <w:color w:val="auto"/>
        </w:rPr>
      </w:pPr>
      <w:r>
        <w:rPr>
          <w:rFonts w:ascii="Arial" w:cs="Arial" w:eastAsia="Arial" w:hAnsi="Arial"/>
          <w:sz w:val="17"/>
          <w:szCs w:val="17"/>
          <w:color w:val="auto"/>
        </w:rPr>
        <w:t>As of the date hereof, no Proceedings are pending or, to the Company’s Knowledge, are threatened against the Company or any Company Subsidiary, alleging that the Company or any Company Subsidiary is infringing, misappropriating, diluting or otherwise violating the Intellectual Property of any Person. Except as has not been and would not reasonably be expected to be, individually or in the aggregate, material to the Company and the Company Subsidiaries, taken as a whole, and as to patent infringement, to the Company’s Knowledge, the conduct of the business of the Company and the Company Subsidiaries, including the making, selling, leasing, licensing, distributing, supporting or other exploitation of the Company Products, as currently conducted, does not infringe, misappropriate, dilute, or otherwise violate any Intellectual Property of any Person or constitute unfair competition or unfair trade practices, and as conducted since January 1, 2016, has not infringed, violated, diluted, or misappropriated any Intellectual Property of any Person or constituted unfair competition or unfair trade practices.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6" w:name="page37"/>
    <w:bookmarkEnd w:id="36"/>
    <w:p>
      <w:pPr>
        <w:ind w:firstLine="987"/>
        <w:spacing w:after="0" w:line="259" w:lineRule="auto"/>
        <w:tabs>
          <w:tab w:leader="none" w:pos="1348"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Company’s Knowledge, (i) no Person is infringing, misappropriating, diluting, or otherwise violating any Company Intellectual Property, and (ii) since January 1, 2016, neither the Company nor any Company Subsidiary has instituted or threatened to institute any Proceeding against any Person alleging such Person is infringing, misappropriating, diluting, using in an unauthorized manner or otherwise violating any Company Intellectual Property.</w:t>
      </w:r>
    </w:p>
    <w:p>
      <w:pPr>
        <w:spacing w:after="0" w:line="186" w:lineRule="exact"/>
        <w:rPr>
          <w:rFonts w:ascii="Arial" w:cs="Arial" w:eastAsia="Arial" w:hAnsi="Arial"/>
          <w:sz w:val="18"/>
          <w:szCs w:val="18"/>
          <w:color w:val="auto"/>
        </w:rPr>
      </w:pPr>
    </w:p>
    <w:p>
      <w:pPr>
        <w:ind w:firstLine="987"/>
        <w:spacing w:after="0" w:line="267" w:lineRule="auto"/>
        <w:tabs>
          <w:tab w:leader="none" w:pos="1381"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Except as would not reasonably be expected to, either individually or in the aggregate, be material to the Company and the Company Subsidiaries, taken as a whole, in each case in which the Company or any Company Subsidiary has engaged or hired an employee, consultant or contractor (whether current or former) for the purpose of developing or creating any Technology, the Company or such Company Subsidiary has obtained, either by operation of Law or by valid assignment or transfer pursuant to an executed written agreement which transfers to the Company or the applicable Company Subsidiary exclusive ownership of all Intellectual Property associated therewith. The Company and each Company Subsidiary have taken commercially reasonable actions to maintain and protect all confidential information of the Company and the Company Subsidiaries that derives independent economic value, actual or potential, from not being known to other Persons, and all such information has been maintained in confidence as a “trade secret” in accordance with procedures that are customarily used in the industry to protect rights of like importance, except for any disclosures resulting from the knowing exercise of the Company’s reasonable business discretion. To the Company’s Knowledge, since January 1, 2016, there has been no unauthorized disclosure of the trade secrets of the Company or any Company Subsidiary, or unauthorized disclosure by the Company or any Company Subsidiary of any third party information that has been supplied to the Company or any Company Subsidiary in confidence, except as has not been and would not reasonably be expected to be, individually or in the aggregate, material to the Company and the Company Subsidiaries, taken as a whole. Without limiting the generality of the foregoing, the Company and the Company Subsidiaries have, and enforce, a policy requiring each employee, consultant and independent contractor that has access to any confidential information of the Company and the Company Subsidiaries to execute a confidentiality agreement that obligates such Person to maintain the confidentiality thereof, except where the failure to enforce such policy has not been and would not reasonably be expected to be, individually or in the aggregate, material to the Company and the Company Subsidiaries, taken as a whole.</w:t>
      </w:r>
    </w:p>
    <w:p>
      <w:pPr>
        <w:spacing w:after="0" w:line="191" w:lineRule="exact"/>
        <w:rPr>
          <w:rFonts w:ascii="Arial" w:cs="Arial" w:eastAsia="Arial" w:hAnsi="Arial"/>
          <w:sz w:val="17"/>
          <w:szCs w:val="17"/>
          <w:color w:val="auto"/>
        </w:rPr>
      </w:pPr>
    </w:p>
    <w:p>
      <w:pPr>
        <w:ind w:right="200" w:firstLine="987"/>
        <w:spacing w:after="0" w:line="275" w:lineRule="auto"/>
        <w:tabs>
          <w:tab w:leader="none" w:pos="1381"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Neither the Company nor any Company Subsidiary has distributed any Software under an Open Source License in a manner that would require any material Software that embodies Company Intellectual Property (i) to be disclosed or distributed in Source Code form, (ii) to be licensed for the purposes of preparing derivative works, or (iii) to be redistributed at no charge. The Company and the Company Subsidiaries are and have been in compliance with all Open Source Licenses to which they are subject except as would not reasonably be expected to be, individually or in the aggregate, material to the Company and the Company Subsidiaries, taken as a whole.</w:t>
      </w:r>
    </w:p>
    <w:p>
      <w:pPr>
        <w:spacing w:after="0" w:line="176" w:lineRule="exact"/>
        <w:rPr>
          <w:rFonts w:ascii="Arial" w:cs="Arial" w:eastAsia="Arial" w:hAnsi="Arial"/>
          <w:sz w:val="17"/>
          <w:szCs w:val="17"/>
          <w:color w:val="auto"/>
        </w:rPr>
      </w:pPr>
    </w:p>
    <w:p>
      <w:pPr>
        <w:ind w:right="260" w:firstLine="987"/>
        <w:spacing w:after="0" w:line="263" w:lineRule="auto"/>
        <w:tabs>
          <w:tab w:leader="none" w:pos="134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Section 3.14(i)</w:t>
      </w:r>
      <w:r>
        <w:rPr>
          <w:rFonts w:ascii="Arial" w:cs="Arial" w:eastAsia="Arial" w:hAnsi="Arial"/>
          <w:sz w:val="18"/>
          <w:szCs w:val="18"/>
          <w:color w:val="auto"/>
        </w:rPr>
        <w:t xml:space="preserve"> of the Company Disclosure Letter contains a complete and accurate list of, and the Company has made available to Parent prior to the date hereof true and complete copies of, all Contracts pursuant to which the Company or any Company Subsidiary (i) grants any license, covenant not to assert, release, agreement not to enforce or prosecute, or other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7" w:name="page38"/>
    <w:bookmarkEnd w:id="37"/>
    <w:p>
      <w:pPr>
        <w:ind w:left="4"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immunity to any Person under or to any patent rights or material Company Intellectual Property, except Ordinary Course Licenses, and (ii) (other than Ordinary Course Licenses and Open Source Licenses) is granted a license, covenant not to assert, release, agreement not to enforce or prosecute, or immunity to or under any Person’s Intellectual Property; and that in the case of both clauses (i) and (ii) that is material to the conduct of the business of the Company and the Company Subsidiaries, taken as a whole (the foregoing, the “</w:t>
      </w:r>
      <w:r>
        <w:rPr>
          <w:rFonts w:ascii="Arial" w:cs="Arial" w:eastAsia="Arial" w:hAnsi="Arial"/>
          <w:sz w:val="17"/>
          <w:szCs w:val="17"/>
          <w:u w:val="single" w:color="auto"/>
          <w:color w:val="auto"/>
        </w:rPr>
        <w:t>IP Contracts</w:t>
      </w:r>
      <w:r>
        <w:rPr>
          <w:rFonts w:ascii="Arial" w:cs="Arial" w:eastAsia="Arial" w:hAnsi="Arial"/>
          <w:sz w:val="17"/>
          <w:szCs w:val="17"/>
          <w:color w:val="auto"/>
        </w:rPr>
        <w:t>”).</w:t>
      </w:r>
    </w:p>
    <w:p>
      <w:pPr>
        <w:spacing w:after="0" w:line="171" w:lineRule="exact"/>
        <w:rPr>
          <w:sz w:val="20"/>
          <w:szCs w:val="20"/>
          <w:color w:val="auto"/>
        </w:rPr>
      </w:pPr>
    </w:p>
    <w:p>
      <w:pPr>
        <w:ind w:left="1344" w:hanging="353"/>
        <w:spacing w:after="0"/>
        <w:tabs>
          <w:tab w:leader="none" w:pos="1344"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Company has made available to Parent prior to the date hereof a true and complete list of all material Company Products.</w:t>
      </w:r>
    </w:p>
    <w:p>
      <w:pPr>
        <w:spacing w:after="0" w:line="236" w:lineRule="exact"/>
        <w:rPr>
          <w:rFonts w:ascii="Arial" w:cs="Arial" w:eastAsia="Arial" w:hAnsi="Arial"/>
          <w:sz w:val="17"/>
          <w:szCs w:val="17"/>
          <w:color w:val="auto"/>
        </w:rPr>
      </w:pPr>
    </w:p>
    <w:p>
      <w:pPr>
        <w:ind w:left="4" w:firstLine="987"/>
        <w:spacing w:after="0" w:line="286" w:lineRule="auto"/>
        <w:tabs>
          <w:tab w:leader="none" w:pos="1385" w:val="left"/>
        </w:tabs>
        <w:numPr>
          <w:ilvl w:val="1"/>
          <w:numId w:val="45"/>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will result in (i) a material breach, violation, modification, cancellation, termination, or suspension of any IP Contract that is material to the conduct of the business of the Company and the Company Subsidiaries, taken as a whole, (ii) the release from escrow or disclosure of any Source Code or other material proprietary or confidential information or Technology of the Company or any Company Subsidiary, (iii) the grant of (or requirement to grant) any license, covenant not to assert, release, agreement not to enforce or prosecute, or other immunity to or under any Company Intellectual Property to any Person, in each case, except as has not been and would not reasonably be expected to be, individually or in the aggregate, material to the Company and the Company Subsidiaries, taken as a whole; (iv) the Company or any Company Subsidiary being subject to any non-compete, exclusivity, most favored nation restriction, or other material restriction on the operation or scope of their respective businesses; or (v) the grant of (or requirement to grant) any license or covenant not to assert under any Intellectual Property of Parent arising solely as a result of any Contract to which Company or any Company Subsidiary is a party as of immediately prior to the Closing. All IP Contracts shall remain in full force and effect immediately following the Closing in accordance with their terms, and, as of immediately after the Closing, the Company and the Company Subsidiaries will be entitled to exercise all of their respective rights under all IP Contracts to the same extent as prior to the Closing, in each case, except as has not been and would not reasonably be expected to be, individually or in the aggregate, material to the Company and the Company Subsidiaries, taken as a whole.</w:t>
      </w:r>
    </w:p>
    <w:p>
      <w:pPr>
        <w:spacing w:after="0" w:line="173" w:lineRule="exact"/>
        <w:rPr>
          <w:rFonts w:ascii="Arial" w:cs="Arial" w:eastAsia="Arial" w:hAnsi="Arial"/>
          <w:sz w:val="16"/>
          <w:szCs w:val="16"/>
          <w:color w:val="auto"/>
        </w:rPr>
      </w:pPr>
    </w:p>
    <w:p>
      <w:pPr>
        <w:ind w:left="4" w:right="40" w:firstLine="987"/>
        <w:spacing w:after="0" w:line="301" w:lineRule="auto"/>
        <w:tabs>
          <w:tab w:leader="none" w:pos="1345"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 Proceeding by any Person is pending against the Company or any Company Subsidiary, nor has the Company or any Company Subsidiary received any written claim or notice since January 1, 2016 with respect to any material warranty or material indemnity claim relating to any Company Products or with respect to the material breach of any material Contract (including any IP Contract) under which such Company Products have been made available or material items of third party Technology are incorporated into the Company Product, in each case, that remains unresolved.</w:t>
      </w:r>
    </w:p>
    <w:p>
      <w:pPr>
        <w:spacing w:after="0" w:line="157" w:lineRule="exact"/>
        <w:rPr>
          <w:rFonts w:ascii="Arial" w:cs="Arial" w:eastAsia="Arial" w:hAnsi="Arial"/>
          <w:sz w:val="16"/>
          <w:szCs w:val="16"/>
          <w:color w:val="auto"/>
        </w:rPr>
      </w:pPr>
    </w:p>
    <w:p>
      <w:pPr>
        <w:ind w:left="4" w:right="180" w:firstLine="987"/>
        <w:spacing w:after="0" w:line="286" w:lineRule="auto"/>
        <w:tabs>
          <w:tab w:leader="none" w:pos="1435"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 Software included in any Company Product that was developed by the Company or any Company Subsidiary, or, to the Company’s Knowledge, by any other Person, contains any undisclosed disabling codes or instructions, “time bombs,” “Trojan horses,” “back doors,” “trap doors,” “worms,” viruses, bugs, faults, security vulnerabilities (as such terms are commonly understood in the software industry) or other similar routines, including any such routines that (i) enable or assist any Person to access without authorization or disable or erase the Company Products,</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otherwise significantly adversely affect the functionality of the Company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4" w:right="439" w:bottom="1440" w:gutter="0" w:footer="0" w:header="0"/>
        </w:sectPr>
      </w:pPr>
    </w:p>
    <w:bookmarkStart w:id="38" w:name="page39"/>
    <w:bookmarkEnd w:id="38"/>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Products, or (iii) gain, or enable or assist any Person to gain, unauthorized acquisition of or access to Protected Information created, received, maintained or transmitted through those Company Products, except as has not been and would not reasonably be expected to be, individually or in the aggregate, material to the Company and the Company Subsidiaries, taken as a whole.</w:t>
      </w:r>
    </w:p>
    <w:p>
      <w:pPr>
        <w:spacing w:after="0" w:line="292"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Privacy and Data Protection</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5" w:lineRule="auto"/>
        <w:tabs>
          <w:tab w:leader="none" w:pos="1371" w:val="left"/>
        </w:tabs>
        <w:numPr>
          <w:ilvl w:val="0"/>
          <w:numId w:val="47"/>
        </w:numPr>
        <w:rPr>
          <w:rFonts w:ascii="Arial" w:cs="Arial" w:eastAsia="Arial" w:hAnsi="Arial"/>
          <w:sz w:val="16"/>
          <w:szCs w:val="16"/>
          <w:color w:val="auto"/>
        </w:rPr>
      </w:pPr>
      <w:r>
        <w:rPr>
          <w:rFonts w:ascii="Arial" w:cs="Arial" w:eastAsia="Arial" w:hAnsi="Arial"/>
          <w:sz w:val="16"/>
          <w:szCs w:val="16"/>
          <w:color w:val="auto"/>
        </w:rPr>
        <w:t>Since January 1, 2018, the Company’s and each Company Subsidiary’s receipt, collection, monitoring, maintenance, hosting, creation, transmission, use, analysis, disclosure, storage, retention, disposal security, and other processing (collectively “</w:t>
      </w:r>
      <w:r>
        <w:rPr>
          <w:rFonts w:ascii="Arial" w:cs="Arial" w:eastAsia="Arial" w:hAnsi="Arial"/>
          <w:sz w:val="16"/>
          <w:szCs w:val="16"/>
          <w:u w:val="single" w:color="auto"/>
          <w:color w:val="auto"/>
        </w:rPr>
        <w:t>Processing</w:t>
      </w:r>
      <w:r>
        <w:rPr>
          <w:rFonts w:ascii="Arial" w:cs="Arial" w:eastAsia="Arial" w:hAnsi="Arial"/>
          <w:sz w:val="16"/>
          <w:szCs w:val="16"/>
          <w:color w:val="auto"/>
        </w:rPr>
        <w:t>”) as the case may be, of Protected Information, and, to the Company’s Knowledge, any such Processing activities performed or handled by authorized third parties on the Company’s or a Company Subsidiary’s behalf, have complied in all material respects with, and neither the execution and delivery of this Agreement nor the consummation of the Transactions (including the disclosure to and use by Merger Sub of Protected Information after Closing) will result in the Company, any Company Subsidiary or the Surviving Company being in material breach or material violation of, (i) any Contracts to which the Company or any Company Subsidiary is a party, (ii) applicable Information Privacy and Security Laws, (iii) binding requirements of self-regulatory organizations to which the Company or any Company Subsidiary is bound or with which it has represented compliance (including the PCI DSS and the self-regulatory requirements of the Digital Advertising Association and Network Advertising Initiative, as applicable to the Company or a Company Subsidiary), (iv) all applicable policies and procedures adopted by the Company or a Company Subsidiary relating to Personal Data, including the Privacy Statements, and (v) all consents and authorizations that apply to the Personal Data that have been obtained by the Company or a Company Subsidiary (items (i) to (iv) collectively the “</w:t>
      </w:r>
      <w:r>
        <w:rPr>
          <w:rFonts w:ascii="Arial" w:cs="Arial" w:eastAsia="Arial" w:hAnsi="Arial"/>
          <w:sz w:val="16"/>
          <w:szCs w:val="16"/>
          <w:u w:val="single" w:color="auto"/>
          <w:color w:val="auto"/>
        </w:rPr>
        <w:t>Privacy Requirements</w:t>
      </w:r>
      <w:r>
        <w:rPr>
          <w:rFonts w:ascii="Arial" w:cs="Arial" w:eastAsia="Arial" w:hAnsi="Arial"/>
          <w:sz w:val="16"/>
          <w:szCs w:val="16"/>
          <w:color w:val="auto"/>
        </w:rPr>
        <w:t>”). The Company and each Company Subsidiary have executed Business Associate Agreements (as defined in HIPAA) with any Covered Entity or Business Associate (as defined in HIPAA), as required by HIPAA. Since January 1, 2018, the Company and each Company Subsidiary have at all times posted, where required by Information Privacy and Security Laws, as applicable, Privacy Statements (materially in compliance with Information Privacy and Security Laws) governing their use of Personal Data on their websites made available by the Company and each Company Subsidiary, and the Company and each Company Subsidiary have complied in all material respects with such current and former Privacy Statements. Such Privacy Statements have not been inaccurate, misleading or deceptive in any material respect.</w:t>
      </w:r>
    </w:p>
    <w:p>
      <w:pPr>
        <w:spacing w:after="0" w:line="173" w:lineRule="exact"/>
        <w:rPr>
          <w:rFonts w:ascii="Arial" w:cs="Arial" w:eastAsia="Arial" w:hAnsi="Arial"/>
          <w:sz w:val="16"/>
          <w:szCs w:val="16"/>
          <w:color w:val="auto"/>
        </w:rPr>
      </w:pPr>
    </w:p>
    <w:p>
      <w:pPr>
        <w:ind w:right="20" w:firstLine="987"/>
        <w:spacing w:after="0" w:line="290" w:lineRule="auto"/>
        <w:tabs>
          <w:tab w:leader="none" w:pos="1381" w:val="left"/>
        </w:tabs>
        <w:numPr>
          <w:ilvl w:val="0"/>
          <w:numId w:val="47"/>
        </w:numPr>
        <w:rPr>
          <w:rFonts w:ascii="Arial" w:cs="Arial" w:eastAsia="Arial" w:hAnsi="Arial"/>
          <w:sz w:val="16"/>
          <w:szCs w:val="16"/>
          <w:color w:val="auto"/>
        </w:rPr>
      </w:pPr>
      <w:r>
        <w:rPr>
          <w:rFonts w:ascii="Arial" w:cs="Arial" w:eastAsia="Arial" w:hAnsi="Arial"/>
          <w:sz w:val="16"/>
          <w:szCs w:val="16"/>
          <w:color w:val="auto"/>
        </w:rPr>
        <w:t>Since January 1, 2018, there has been no material (i) data security breach of, unauthorized access to, or disruption or unavailability of Protected Information Processed by any Company Products, or any material Company or Company Subsidiary systems, networks or information technology that transmits or maintains Protected Information or (ii) incidents involving the unlawful, unauthorized or accidental loss, damage, access, acquisition, modification, use or Processing of any Protected Information owned, used, hosted, maintained or controlled by the Company or the Company Subsidiaries. Since January 1, 2018, neither the Company nor any Company Subsidiaries has experienced any unlawful, unauthorized or accidental loss, damage, access, acquisition, modification, use or Processing of Protected Information that would constitute a breach for which notification by the Company or any Company Subsidiary to individuals, Persons and/or Governmental Entities is required under any applicable Information Privacy and Security Laws or Contracts to which the Company or a Company Subsidiary is a party.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9" w:name="page40"/>
    <w:bookmarkEnd w:id="39"/>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Knowledge, none of the Company’s or any Company Subsidiary’s vendors, suppliers and subcontractors with access to Protected Information owned, used, hosted, maintained or controlled by the Company have (1) suffered any material security breach that resulted in any unlawful, unauthorized or accidental loss, damage, access, acquisition, modification, use or Processing of any Protected Information, or (2) materially breached or materially violated any of the Privacy Requirements.</w:t>
      </w:r>
    </w:p>
    <w:p>
      <w:pPr>
        <w:spacing w:after="0" w:line="187" w:lineRule="exact"/>
        <w:rPr>
          <w:sz w:val="20"/>
          <w:szCs w:val="20"/>
          <w:color w:val="auto"/>
        </w:rPr>
      </w:pPr>
    </w:p>
    <w:p>
      <w:pPr>
        <w:ind w:left="4" w:firstLine="987"/>
        <w:spacing w:after="0" w:line="268" w:lineRule="auto"/>
        <w:tabs>
          <w:tab w:leader="none" w:pos="1375" w:val="left"/>
        </w:tabs>
        <w:numPr>
          <w:ilvl w:val="1"/>
          <w:numId w:val="48"/>
        </w:numPr>
        <w:rPr>
          <w:rFonts w:ascii="Arial" w:cs="Arial" w:eastAsia="Arial" w:hAnsi="Arial"/>
          <w:sz w:val="17"/>
          <w:szCs w:val="17"/>
          <w:color w:val="auto"/>
        </w:rPr>
      </w:pPr>
      <w:r>
        <w:rPr>
          <w:rFonts w:ascii="Arial" w:cs="Arial" w:eastAsia="Arial" w:hAnsi="Arial"/>
          <w:sz w:val="17"/>
          <w:szCs w:val="17"/>
          <w:color w:val="auto"/>
        </w:rPr>
        <w:t>Since January 1, 2018, the Company and each Company Subsidiary have implemented, monitored, maintained and materially complied with a commercially reasonable written information security program, covering the Company and each Company Subsidiary, designed to meet or exceed applicable industry standards to (i) identify and address internal and external risks to the security, integrity, or privacy of any Protected Information, (ii) implement, monitor and improve commercially reasonable administrative, technical and physical safeguards to control these risks and protect against threats to Protected Information and Company or Company Subsidiary systems, networks or information technology that transmits or maintains such information, and (iii) maintain notification procedures in compliance with applicable Information Privacy and Security Laws in the case of any breach of security, integrity, or privacy compromising Personal Data. To the extent required by Privacy Requirements, the Company and each of the Company Subsidiaries has contractually obligated all vendors, suppliers and subcontractors that have access to Protected Information to comply with Privacy Requirements. To the Company’s Knowledge, none of the Company’s or any Company Subsidiary’s vendors, suppliers and subcontractors have violated or failed to comply with such obligations. The Company and each of the Company Subsidiaries have performed commercially reasonable security risk assessments at least annually and remediated or sufficiently mitigated all critical, high risk or material threats and deficiencies identified in those security risk assessments. To the Company’s Knowledge, no circumstances or vulnerabilities exist that present a material risk to the Protected Information in Company’s or any Company Subsidiary’s possession or to any Company or Company Subsidiary systems, networks or information technology that transmit or maintain such information.</w:t>
      </w:r>
    </w:p>
    <w:p>
      <w:pPr>
        <w:spacing w:after="0" w:line="184" w:lineRule="exact"/>
        <w:rPr>
          <w:rFonts w:ascii="Arial" w:cs="Arial" w:eastAsia="Arial" w:hAnsi="Arial"/>
          <w:sz w:val="17"/>
          <w:szCs w:val="17"/>
          <w:color w:val="auto"/>
        </w:rPr>
      </w:pPr>
    </w:p>
    <w:p>
      <w:pPr>
        <w:ind w:left="1384" w:hanging="393"/>
        <w:spacing w:after="0"/>
        <w:tabs>
          <w:tab w:leader="none" w:pos="1384" w:val="left"/>
        </w:tabs>
        <w:numPr>
          <w:ilvl w:val="1"/>
          <w:numId w:val="48"/>
        </w:numPr>
        <w:rPr>
          <w:rFonts w:ascii="Arial" w:cs="Arial" w:eastAsia="Arial" w:hAnsi="Arial"/>
          <w:sz w:val="17"/>
          <w:szCs w:val="17"/>
          <w:color w:val="auto"/>
        </w:rPr>
      </w:pPr>
      <w:r>
        <w:rPr>
          <w:rFonts w:ascii="Arial" w:cs="Arial" w:eastAsia="Arial" w:hAnsi="Arial"/>
          <w:sz w:val="17"/>
          <w:szCs w:val="17"/>
          <w:color w:val="auto"/>
        </w:rPr>
        <w:t>Since January 1, 2018, no Person has (i) provided a written notice or audit request to the Company or a Company Subsidiary,</w:t>
      </w:r>
    </w:p>
    <w:p>
      <w:pPr>
        <w:spacing w:after="0" w:line="34" w:lineRule="exact"/>
        <w:rPr>
          <w:rFonts w:ascii="Arial" w:cs="Arial" w:eastAsia="Arial" w:hAnsi="Arial"/>
          <w:sz w:val="17"/>
          <w:szCs w:val="17"/>
          <w:color w:val="auto"/>
        </w:rPr>
      </w:pPr>
    </w:p>
    <w:p>
      <w:pPr>
        <w:ind w:left="4" w:hanging="4"/>
        <w:spacing w:after="0" w:line="252" w:lineRule="auto"/>
        <w:tabs>
          <w:tab w:leader="none" w:pos="2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made any written claim against the Company or a Company Subsidiary or (iii) to the Company’s Knowledge, commenced any Proceeding, in each case, with respect to (A) any alleged violation of Information Privacy and Security Laws by the Company, any Company Subsidiary or (with respect to services provided to or on behalf of the Company) any third party with whom the Company or any Company Subsidiary has entered into a Contract in connection with the Processing of Personal Data or (B) any of the Company’s or a Company Subsidiary’s privacy or data security practices, including any unlawful, unauthorized or accidental loss, damage, modification, or Processing of any Protected Information maintained by or on behalf of the Company or the Company Subsidiaries. To the Company’s Knowledge, there is no circumstance that would reasonably be expected to give rise to any of the foregoing.</w:t>
      </w:r>
    </w:p>
    <w:p>
      <w:pPr>
        <w:spacing w:after="0" w:line="192" w:lineRule="exact"/>
        <w:rPr>
          <w:rFonts w:ascii="Arial" w:cs="Arial" w:eastAsia="Arial" w:hAnsi="Arial"/>
          <w:sz w:val="18"/>
          <w:szCs w:val="18"/>
          <w:color w:val="auto"/>
        </w:rPr>
      </w:pPr>
    </w:p>
    <w:p>
      <w:pPr>
        <w:ind w:left="4" w:right="380" w:firstLine="987"/>
        <w:spacing w:after="0" w:line="311" w:lineRule="auto"/>
        <w:tabs>
          <w:tab w:leader="none" w:pos="1372"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Company and the Company Subsidiaries have in place commercially reasonable disaster recovery plans and procedures that satisfy applicable Privacy Requirements, and the Company and the Company Subsidiaries are in compliance therewith, except to the extent noncompliance therewith would not reasonably be expected to be material to the Company and the Company Subsidiaries, taken as a whole.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40" w:name="page41"/>
    <w:bookmarkEnd w:id="40"/>
    <w:p>
      <w:pPr>
        <w:ind w:right="4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3.16. </w:t>
      </w:r>
      <w:r>
        <w:rPr>
          <w:rFonts w:ascii="Arial" w:cs="Arial" w:eastAsia="Arial" w:hAnsi="Arial"/>
          <w:sz w:val="17"/>
          <w:szCs w:val="17"/>
          <w:u w:val="single" w:color="auto"/>
          <w:color w:val="auto"/>
        </w:rPr>
        <w:t>Real Property; Assets</w:t>
      </w:r>
      <w:r>
        <w:rPr>
          <w:rFonts w:ascii="Arial" w:cs="Arial" w:eastAsia="Arial" w:hAnsi="Arial"/>
          <w:sz w:val="17"/>
          <w:szCs w:val="17"/>
          <w:color w:val="auto"/>
        </w:rPr>
        <w:t xml:space="preserve">. Neither the Company nor any Company Subsidiary owns any real property.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of the Company Disclosure Letter sets forth a list, as of the date hereof, of Contracts pursuant to which the Company or any Company Subsidiary leases, subleases or occupies any real property that is material to the Company or its Subsidiaries, in each case, other than Contracts for ordinary course arrangements at “shared workspace” or “coworking space” facilities that are not material (such Contracts, “</w:t>
      </w:r>
      <w:r>
        <w:rPr>
          <w:rFonts w:ascii="Arial" w:cs="Arial" w:eastAsia="Arial" w:hAnsi="Arial"/>
          <w:sz w:val="17"/>
          <w:szCs w:val="17"/>
          <w:u w:val="single" w:color="auto"/>
          <w:color w:val="auto"/>
        </w:rPr>
        <w:t>Company Leases</w:t>
      </w:r>
      <w:r>
        <w:rPr>
          <w:rFonts w:ascii="Arial" w:cs="Arial" w:eastAsia="Arial" w:hAnsi="Arial"/>
          <w:sz w:val="17"/>
          <w:szCs w:val="17"/>
          <w:color w:val="auto"/>
        </w:rPr>
        <w:t>”). Neither the Company nor any Company Subsidiary has subleased, licensed or otherwise granted any Person the right to use or occupy any real property subject to a Company Lease or any portion thereof. Each Company Lease is valid, binding and in full force and effect, subject to the Enforceability Limitations, and no uncured default of a material nature on the part of the Company or, if applicable, any Company Subsidiary or, to the Company’s Knowledge, the landlord thereunder exists with respect to any Company Lease. The Company or a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Subsidiaries as currently conducted, free and clear of all Liens, other than Permitted Liens. 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other than Permitted Liens.</w:t>
      </w:r>
    </w:p>
    <w:p>
      <w:pPr>
        <w:spacing w:after="0" w:line="29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73" w:lineRule="auto"/>
        <w:tabs>
          <w:tab w:leader="none" w:pos="137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Except for this Agreement,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contains a complete and correct list, as of the date hereof, of each Contract described below in this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under which the Company or any Company Subsidiary has any current or future rights, responsibilities, obligations or liabilities (in each case, whether contingent or otherwise) or to which the Company or any Company Subsidiary is a party or to which any of their respective properties or assets is subject, in each case as of the date hereof other than Company Benefit Plans listed on </w:t>
      </w:r>
      <w:r>
        <w:rPr>
          <w:rFonts w:ascii="Arial" w:cs="Arial" w:eastAsia="Arial" w:hAnsi="Arial"/>
          <w:sz w:val="17"/>
          <w:szCs w:val="17"/>
          <w:u w:val="single" w:color="auto"/>
          <w:color w:val="auto"/>
        </w:rPr>
        <w:t>Section 3.10(a)</w:t>
      </w:r>
      <w:r>
        <w:rPr>
          <w:rFonts w:ascii="Arial" w:cs="Arial" w:eastAsia="Arial" w:hAnsi="Arial"/>
          <w:sz w:val="17"/>
          <w:szCs w:val="17"/>
          <w:color w:val="auto"/>
        </w:rPr>
        <w:t xml:space="preserve"> of the Company Disclosure Letter (all Contracts of the type described in this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whether or not set forth on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being referred to herein as the “</w:t>
      </w:r>
      <w:r>
        <w:rPr>
          <w:rFonts w:ascii="Arial" w:cs="Arial" w:eastAsia="Arial" w:hAnsi="Arial"/>
          <w:sz w:val="17"/>
          <w:szCs w:val="17"/>
          <w:u w:val="single" w:color="auto"/>
          <w:color w:val="auto"/>
        </w:rPr>
        <w:t>Material Contract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20" w:firstLine="1428"/>
        <w:spacing w:after="0" w:line="257" w:lineRule="auto"/>
        <w:tabs>
          <w:tab w:leader="none" w:pos="1782"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Contract that limits in any material respect the freedom of the Company, any Company Subsidiary or any of their respective affiliates (including Parent and its affiliates after the Effective Time) to compete or engage in any line of business or geographic region or with any Person or sell, supply or distribute any product or service or that otherwise has the effect of restricting the Company, the Company Subsidiaries or any of their respective affiliates (including Parent and its affiliates after the Effective Time) from the development, marketing or distribution of products and services, in each case, in any geographic area;</w:t>
      </w:r>
    </w:p>
    <w:p>
      <w:pPr>
        <w:spacing w:after="0" w:line="187" w:lineRule="exact"/>
        <w:rPr>
          <w:rFonts w:ascii="Arial" w:cs="Arial" w:eastAsia="Arial" w:hAnsi="Arial"/>
          <w:sz w:val="18"/>
          <w:szCs w:val="18"/>
          <w:color w:val="auto"/>
        </w:rPr>
      </w:pPr>
    </w:p>
    <w:p>
      <w:pPr>
        <w:ind w:firstLine="1428"/>
        <w:spacing w:after="0" w:line="308" w:lineRule="auto"/>
        <w:tabs>
          <w:tab w:leader="none" w:pos="1832" w:val="left"/>
        </w:tabs>
        <w:numPr>
          <w:ilvl w:val="1"/>
          <w:numId w:val="50"/>
        </w:numPr>
        <w:rPr>
          <w:rFonts w:ascii="Arial" w:cs="Arial" w:eastAsia="Arial" w:hAnsi="Arial"/>
          <w:sz w:val="17"/>
          <w:szCs w:val="17"/>
          <w:color w:val="auto"/>
        </w:rPr>
      </w:pPr>
      <w:r>
        <w:rPr>
          <w:rFonts w:ascii="Arial" w:cs="Arial" w:eastAsia="Arial" w:hAnsi="Arial"/>
          <w:sz w:val="17"/>
          <w:szCs w:val="17"/>
          <w:color w:val="auto"/>
        </w:rPr>
        <w:t>each Contract that limits the freedom of the Company, any Company Subsidiary or any of their respective affiliates to negotiate or, except for provisions requiring notice or consent to assignment by the counterparty thereto, consummate any of the Transactions;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1" w:name="page42"/>
    <w:bookmarkEnd w:id="41"/>
    <w:p>
      <w:pPr>
        <w:ind w:left="-80" w:right="400" w:firstLine="1428"/>
        <w:spacing w:after="0" w:line="277" w:lineRule="auto"/>
        <w:tabs>
          <w:tab w:leader="none" w:pos="1802"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material legal partnership, joint venture, strategic alliance, limited liability company agreement (other than any such agreement solely between or among the Company and its wholly owned Subsidiaries) or similar material Contract;</w:t>
      </w:r>
    </w:p>
    <w:p>
      <w:pPr>
        <w:spacing w:after="0" w:line="170" w:lineRule="exact"/>
        <w:rPr>
          <w:rFonts w:ascii="Arial" w:cs="Arial" w:eastAsia="Arial" w:hAnsi="Arial"/>
          <w:sz w:val="18"/>
          <w:szCs w:val="18"/>
          <w:color w:val="auto"/>
        </w:rPr>
      </w:pPr>
    </w:p>
    <w:p>
      <w:pPr>
        <w:ind w:left="-80" w:right="180" w:firstLine="1428"/>
        <w:spacing w:after="0" w:line="263" w:lineRule="auto"/>
        <w:tabs>
          <w:tab w:leader="none" w:pos="17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acquisition or divestiture Contract that contains representations, covenants, indemnities or other obligations (including “earnout” or other contingent payment obligations) that would reasonably be expected to result in the receipt or making by the Company or any Company Subsidiary of future payments in excess of $1,000,000;</w:t>
      </w:r>
    </w:p>
    <w:p>
      <w:pPr>
        <w:spacing w:after="0" w:line="183" w:lineRule="exact"/>
        <w:rPr>
          <w:rFonts w:ascii="Arial" w:cs="Arial" w:eastAsia="Arial" w:hAnsi="Arial"/>
          <w:sz w:val="18"/>
          <w:szCs w:val="18"/>
          <w:color w:val="auto"/>
        </w:rPr>
      </w:pPr>
    </w:p>
    <w:p>
      <w:pPr>
        <w:ind w:left="-80" w:right="300" w:firstLine="1428"/>
        <w:spacing w:after="0" w:line="308" w:lineRule="auto"/>
        <w:tabs>
          <w:tab w:leader="none" w:pos="1742"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Contract that gives any Person the right to acquire any assets of the Company or any Company Subsidiary (excluding ordinary course commitments to purchase Company Products) after the date hereof with consideration of more than $1,000,000;</w:t>
      </w:r>
    </w:p>
    <w:p>
      <w:pPr>
        <w:spacing w:after="0" w:line="146" w:lineRule="exact"/>
        <w:rPr>
          <w:rFonts w:ascii="Arial" w:cs="Arial" w:eastAsia="Arial" w:hAnsi="Arial"/>
          <w:sz w:val="17"/>
          <w:szCs w:val="17"/>
          <w:color w:val="auto"/>
        </w:rPr>
      </w:pPr>
    </w:p>
    <w:p>
      <w:pPr>
        <w:ind w:left="1780" w:hanging="432"/>
        <w:spacing w:after="0"/>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IP Contract;</w:t>
      </w:r>
    </w:p>
    <w:p>
      <w:pPr>
        <w:spacing w:after="0" w:line="225" w:lineRule="exact"/>
        <w:rPr>
          <w:rFonts w:ascii="Arial" w:cs="Arial" w:eastAsia="Arial" w:hAnsi="Arial"/>
          <w:sz w:val="18"/>
          <w:szCs w:val="18"/>
          <w:color w:val="auto"/>
        </w:rPr>
      </w:pPr>
    </w:p>
    <w:p>
      <w:pPr>
        <w:jc w:val="both"/>
        <w:ind w:left="-80" w:right="180" w:firstLine="1428"/>
        <w:spacing w:after="0" w:line="259" w:lineRule="auto"/>
        <w:tabs>
          <w:tab w:leader="none" w:pos="18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Contract to provide Source Code for any Company Product to any third Person, including any Contract to put such Source Code in escrow with a third Person on behalf of a licensee or contracting party, other than Contracts with employees and contractors of the Company or any Company Subsidiary pursuant to which such employee or contractor is provided Source Code for use solely in connection with such employee’s or contractor’s performance of services for the Company or a Company Subsidiary;</w:t>
      </w:r>
    </w:p>
    <w:p>
      <w:pPr>
        <w:spacing w:after="0" w:line="186" w:lineRule="exact"/>
        <w:rPr>
          <w:rFonts w:ascii="Arial" w:cs="Arial" w:eastAsia="Arial" w:hAnsi="Arial"/>
          <w:sz w:val="18"/>
          <w:szCs w:val="18"/>
          <w:color w:val="auto"/>
        </w:rPr>
      </w:pPr>
    </w:p>
    <w:p>
      <w:pPr>
        <w:ind w:left="-80" w:firstLine="1428"/>
        <w:spacing w:after="0" w:line="277" w:lineRule="auto"/>
        <w:tabs>
          <w:tab w:leader="none" w:pos="18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settlement agreement or similar Contract restricting in any material respect the operations or conduct of the Company or any Company Subsidiary or any of their respective affiliates (including Parent and its affiliates after the Effective Time);</w:t>
      </w:r>
    </w:p>
    <w:p>
      <w:pPr>
        <w:spacing w:after="0" w:line="170" w:lineRule="exact"/>
        <w:rPr>
          <w:rFonts w:ascii="Arial" w:cs="Arial" w:eastAsia="Arial" w:hAnsi="Arial"/>
          <w:sz w:val="18"/>
          <w:szCs w:val="18"/>
          <w:color w:val="auto"/>
        </w:rPr>
      </w:pPr>
    </w:p>
    <w:p>
      <w:pPr>
        <w:ind w:left="-80" w:right="20" w:firstLine="1428"/>
        <w:spacing w:after="0" w:line="293" w:lineRule="auto"/>
        <w:tabs>
          <w:tab w:leader="none" w:pos="179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Contract providing for (i)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(ii) retention payments, change of control payments, accelerated vesting or any other payment or benefit that may or will become due as a result of the Merger or any other transaction contemplated by this Agreement;</w:t>
      </w:r>
    </w:p>
    <w:p>
      <w:pPr>
        <w:spacing w:after="0" w:line="164" w:lineRule="exact"/>
        <w:rPr>
          <w:rFonts w:ascii="Arial" w:cs="Arial" w:eastAsia="Arial" w:hAnsi="Arial"/>
          <w:sz w:val="16"/>
          <w:szCs w:val="16"/>
          <w:color w:val="auto"/>
        </w:rPr>
      </w:pPr>
    </w:p>
    <w:p>
      <w:pPr>
        <w:ind w:left="-80" w:right="180" w:firstLine="1428"/>
        <w:spacing w:after="0" w:line="263" w:lineRule="auto"/>
        <w:tabs>
          <w:tab w:leader="none" w:pos="17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each Contract not otherwise described in any other subsection of this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pursuant to which the Company or any Company Subsidiary is obligated to pay, or entitled to receive, payments in excess of $3,500,000 in the twelve (12) month period following the date hereof;</w:t>
      </w:r>
    </w:p>
    <w:p>
      <w:pPr>
        <w:spacing w:after="0" w:line="183" w:lineRule="exact"/>
        <w:rPr>
          <w:rFonts w:ascii="Arial" w:cs="Arial" w:eastAsia="Arial" w:hAnsi="Arial"/>
          <w:sz w:val="18"/>
          <w:szCs w:val="18"/>
          <w:color w:val="auto"/>
        </w:rPr>
      </w:pPr>
    </w:p>
    <w:p>
      <w:pPr>
        <w:ind w:left="-80" w:right="180" w:firstLine="1428"/>
        <w:spacing w:after="0" w:line="277" w:lineRule="auto"/>
        <w:tabs>
          <w:tab w:leader="none" w:pos="17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Contract that obligates the Company or any Company Subsidiary to make any capital investment or capital expenditure outside the ordinary course of business and in excess of $1,000,000;</w:t>
      </w:r>
    </w:p>
    <w:p>
      <w:pPr>
        <w:spacing w:after="0" w:line="170" w:lineRule="exact"/>
        <w:rPr>
          <w:rFonts w:ascii="Arial" w:cs="Arial" w:eastAsia="Arial" w:hAnsi="Arial"/>
          <w:sz w:val="18"/>
          <w:szCs w:val="18"/>
          <w:color w:val="auto"/>
        </w:rPr>
      </w:pPr>
    </w:p>
    <w:p>
      <w:pPr>
        <w:ind w:left="-80" w:right="60" w:firstLine="1428"/>
        <w:spacing w:after="0" w:line="263" w:lineRule="auto"/>
        <w:tabs>
          <w:tab w:leader="none" w:pos="18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Contract with a Material Customer, a Material Supplier or a Material Reseller, excluding non-disclosure agreements, purchase or service orders, sales acknowledgements, and other similar documents entered into or provided in the ordinary course of business consistent with past practice;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60"/>
          </w:cols>
          <w:pgMar w:left="520" w:top="274" w:right="519" w:bottom="1440" w:gutter="0" w:footer="0" w:header="0"/>
        </w:sectPr>
      </w:pPr>
    </w:p>
    <w:bookmarkStart w:id="42" w:name="page43"/>
    <w:bookmarkEnd w:id="42"/>
    <w:p>
      <w:pPr>
        <w:ind w:right="320" w:firstLine="1428"/>
        <w:spacing w:after="0" w:line="263" w:lineRule="auto"/>
        <w:tabs>
          <w:tab w:leader="none" w:pos="1972"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Contract that grants any right of first refusal or right of first offer or that limits the ability of the Company, any Company Subsidiary or any of its affiliates (including Parent or any of its affiliates after the Effective Time) to own, operate, sell, transfer, pledge or otherwise dispose of any businesses or material assets;</w:t>
      </w:r>
    </w:p>
    <w:p>
      <w:pPr>
        <w:spacing w:after="0" w:line="183" w:lineRule="exact"/>
        <w:rPr>
          <w:rFonts w:ascii="Arial" w:cs="Arial" w:eastAsia="Arial" w:hAnsi="Arial"/>
          <w:sz w:val="18"/>
          <w:szCs w:val="18"/>
          <w:color w:val="auto"/>
        </w:rPr>
      </w:pPr>
    </w:p>
    <w:p>
      <w:pPr>
        <w:ind w:right="240" w:firstLine="1428"/>
        <w:spacing w:after="0" w:line="277" w:lineRule="auto"/>
        <w:tabs>
          <w:tab w:leader="none" w:pos="19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Contract that contains any exclusivity rights or “most favored nations” provisions or minimum use, supply or display requirements that are binding on the Company or its affiliates (including Parent or its affiliates after the Effective Time);</w:t>
      </w:r>
    </w:p>
    <w:p>
      <w:pPr>
        <w:spacing w:after="0" w:line="170" w:lineRule="exact"/>
        <w:rPr>
          <w:rFonts w:ascii="Arial" w:cs="Arial" w:eastAsia="Arial" w:hAnsi="Arial"/>
          <w:sz w:val="18"/>
          <w:szCs w:val="18"/>
          <w:color w:val="auto"/>
        </w:rPr>
      </w:pPr>
    </w:p>
    <w:p>
      <w:pPr>
        <w:ind w:right="60" w:firstLine="1428"/>
        <w:spacing w:after="0" w:line="277" w:lineRule="auto"/>
        <w:tabs>
          <w:tab w:leader="none" w:pos="19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Company Government Contract (except for customer contracts pursuant to which the Company receives annual revenue below $1,000,000 and which are on the Company standard form which has been made available to Parent);</w:t>
      </w:r>
    </w:p>
    <w:p>
      <w:pPr>
        <w:spacing w:after="0" w:line="170" w:lineRule="exact"/>
        <w:rPr>
          <w:rFonts w:ascii="Arial" w:cs="Arial" w:eastAsia="Arial" w:hAnsi="Arial"/>
          <w:sz w:val="18"/>
          <w:szCs w:val="18"/>
          <w:color w:val="auto"/>
        </w:rPr>
      </w:pPr>
    </w:p>
    <w:p>
      <w:pPr>
        <w:ind w:left="1960" w:hanging="53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Company Lease;</w:t>
      </w:r>
    </w:p>
    <w:p>
      <w:pPr>
        <w:spacing w:after="0" w:line="225" w:lineRule="exact"/>
        <w:rPr>
          <w:rFonts w:ascii="Arial" w:cs="Arial" w:eastAsia="Arial" w:hAnsi="Arial"/>
          <w:sz w:val="18"/>
          <w:szCs w:val="18"/>
          <w:color w:val="auto"/>
        </w:rPr>
      </w:pPr>
    </w:p>
    <w:p>
      <w:pPr>
        <w:jc w:val="both"/>
        <w:ind w:right="140" w:firstLine="1428"/>
        <w:spacing w:after="0" w:line="263" w:lineRule="auto"/>
        <w:tabs>
          <w:tab w:leader="none" w:pos="20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Contract relating to outstanding or potential Indebtedness (or commitments in respect thereof) of the Company or the Company Subsidiaries (whether incurred, assumed, guaranteed or secured by any asset) in an amount in excess of $100,000 or relating to any Liens on the assets of the Company or any Company Subsidiary;</w:t>
      </w:r>
    </w:p>
    <w:p>
      <w:pPr>
        <w:spacing w:after="0" w:line="183" w:lineRule="exact"/>
        <w:rPr>
          <w:rFonts w:ascii="Arial" w:cs="Arial" w:eastAsia="Arial" w:hAnsi="Arial"/>
          <w:sz w:val="18"/>
          <w:szCs w:val="18"/>
          <w:color w:val="auto"/>
        </w:rPr>
      </w:pPr>
    </w:p>
    <w:p>
      <w:pPr>
        <w:jc w:val="both"/>
        <w:ind w:right="240" w:firstLine="1428"/>
        <w:spacing w:after="0" w:line="263" w:lineRule="auto"/>
        <w:tabs>
          <w:tab w:leader="none" w:pos="20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83" w:lineRule="exact"/>
        <w:rPr>
          <w:rFonts w:ascii="Arial" w:cs="Arial" w:eastAsia="Arial" w:hAnsi="Arial"/>
          <w:sz w:val="18"/>
          <w:szCs w:val="18"/>
          <w:color w:val="auto"/>
        </w:rPr>
      </w:pPr>
    </w:p>
    <w:p>
      <w:pPr>
        <w:ind w:firstLine="1428"/>
        <w:spacing w:after="0" w:line="255" w:lineRule="auto"/>
        <w:tabs>
          <w:tab w:leader="none" w:pos="19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92" w:lineRule="exact"/>
        <w:rPr>
          <w:rFonts w:ascii="Arial" w:cs="Arial" w:eastAsia="Arial" w:hAnsi="Arial"/>
          <w:sz w:val="18"/>
          <w:szCs w:val="18"/>
          <w:color w:val="auto"/>
        </w:rPr>
      </w:pPr>
    </w:p>
    <w:p>
      <w:pPr>
        <w:ind w:right="200" w:firstLine="1428"/>
        <w:spacing w:after="0" w:line="277" w:lineRule="auto"/>
        <w:tabs>
          <w:tab w:leader="none" w:pos="19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Contract (including any side letters) governing or amending, modifying, supplementing or otherwise relating to any of the Convertible Notes Indentures or any of the Convertible Notes Hedge Obligations; and</w:t>
      </w:r>
    </w:p>
    <w:p>
      <w:pPr>
        <w:spacing w:after="0" w:line="170" w:lineRule="exact"/>
        <w:rPr>
          <w:rFonts w:ascii="Arial" w:cs="Arial" w:eastAsia="Arial" w:hAnsi="Arial"/>
          <w:sz w:val="18"/>
          <w:szCs w:val="18"/>
          <w:color w:val="auto"/>
        </w:rPr>
      </w:pPr>
    </w:p>
    <w:p>
      <w:pPr>
        <w:ind w:right="620" w:firstLine="1428"/>
        <w:spacing w:after="0" w:line="277" w:lineRule="auto"/>
        <w:tabs>
          <w:tab w:leader="none" w:pos="19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any Contract not otherwise described in any other subsection of this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that would constitute a “material contract” (as such term is defined in Item 601(b)(10) of Regulation S-K of the SEC) with respect to the Company.</w:t>
      </w:r>
    </w:p>
    <w:p>
      <w:pPr>
        <w:spacing w:after="0" w:line="170" w:lineRule="exact"/>
        <w:rPr>
          <w:sz w:val="20"/>
          <w:szCs w:val="20"/>
          <w:color w:val="auto"/>
        </w:rPr>
      </w:pPr>
    </w:p>
    <w:p>
      <w:pPr>
        <w:ind w:right="340" w:firstLine="987"/>
        <w:spacing w:after="0" w:line="277" w:lineRule="auto"/>
        <w:tabs>
          <w:tab w:leader="none" w:pos="13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True and complete copies of each Material Contract in effect as of the date hereof have been made available to Parent or publicly filed with the SEC prior to the date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3" w:name="page44"/>
    <w:bookmarkEnd w:id="43"/>
    <w:p>
      <w:pPr>
        <w:ind w:left="4"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w:t>
      </w:r>
    </w:p>
    <w:p>
      <w:pPr>
        <w:spacing w:after="0" w:line="177" w:lineRule="exact"/>
        <w:rPr>
          <w:sz w:val="20"/>
          <w:szCs w:val="20"/>
          <w:color w:val="auto"/>
        </w:rPr>
      </w:pPr>
    </w:p>
    <w:p>
      <w:pPr>
        <w:ind w:left="4" w:right="220" w:firstLine="987"/>
        <w:spacing w:after="0" w:line="277" w:lineRule="auto"/>
        <w:tabs>
          <w:tab w:leader="none" w:pos="13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True and complete copies of each Government Contract Bid that, if accepted, would be a Material Contract of the type specified in </w:t>
      </w:r>
      <w:r>
        <w:rPr>
          <w:rFonts w:ascii="Arial" w:cs="Arial" w:eastAsia="Arial" w:hAnsi="Arial"/>
          <w:sz w:val="18"/>
          <w:szCs w:val="18"/>
          <w:u w:val="single" w:color="auto"/>
          <w:color w:val="auto"/>
        </w:rPr>
        <w:t>Section 3.17(a)(xv)</w:t>
      </w:r>
      <w:r>
        <w:rPr>
          <w:rFonts w:ascii="Arial" w:cs="Arial" w:eastAsia="Arial" w:hAnsi="Arial"/>
          <w:sz w:val="18"/>
          <w:szCs w:val="18"/>
          <w:color w:val="auto"/>
        </w:rPr>
        <w:t xml:space="preserve"> (a “</w:t>
      </w:r>
      <w:r>
        <w:rPr>
          <w:rFonts w:ascii="Arial" w:cs="Arial" w:eastAsia="Arial" w:hAnsi="Arial"/>
          <w:sz w:val="18"/>
          <w:szCs w:val="18"/>
          <w:u w:val="single" w:color="auto"/>
          <w:color w:val="auto"/>
        </w:rPr>
        <w:t>Material Government Bid</w:t>
      </w:r>
      <w:r>
        <w:rPr>
          <w:rFonts w:ascii="Arial" w:cs="Arial" w:eastAsia="Arial" w:hAnsi="Arial"/>
          <w:sz w:val="18"/>
          <w:szCs w:val="18"/>
          <w:color w:val="auto"/>
        </w:rPr>
        <w:t>”) have been made available to Parent prior to the date hereof.</w:t>
      </w:r>
    </w:p>
    <w:p>
      <w:pPr>
        <w:spacing w:after="0" w:line="170" w:lineRule="exact"/>
        <w:rPr>
          <w:rFonts w:ascii="Arial" w:cs="Arial" w:eastAsia="Arial" w:hAnsi="Arial"/>
          <w:sz w:val="18"/>
          <w:szCs w:val="18"/>
          <w:color w:val="auto"/>
        </w:rPr>
      </w:pPr>
    </w:p>
    <w:p>
      <w:pPr>
        <w:ind w:left="4" w:firstLine="987"/>
        <w:spacing w:after="0" w:line="285" w:lineRule="auto"/>
        <w:tabs>
          <w:tab w:leader="none" w:pos="1385" w:val="left"/>
        </w:tabs>
        <w:numPr>
          <w:ilvl w:val="1"/>
          <w:numId w:val="54"/>
        </w:numPr>
        <w:rPr>
          <w:rFonts w:ascii="Arial" w:cs="Arial" w:eastAsia="Arial" w:hAnsi="Arial"/>
          <w:sz w:val="16"/>
          <w:szCs w:val="16"/>
          <w:color w:val="auto"/>
        </w:rPr>
      </w:pPr>
      <w:r>
        <w:rPr>
          <w:rFonts w:ascii="Arial" w:cs="Arial" w:eastAsia="Arial" w:hAnsi="Arial"/>
          <w:sz w:val="16"/>
          <w:szCs w:val="16"/>
          <w:color w:val="auto"/>
        </w:rPr>
        <w:t>Except as has not been, and would not reasonably be expected to be, individually or in the aggregate, material to the Company and the Company Subsidiaries,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any Company Subsidiary to any Governmental Entity or any prime contractor (a “</w:t>
      </w:r>
      <w:r>
        <w:rPr>
          <w:rFonts w:ascii="Arial" w:cs="Arial" w:eastAsia="Arial" w:hAnsi="Arial"/>
          <w:sz w:val="16"/>
          <w:szCs w:val="16"/>
          <w:u w:val="single" w:color="auto"/>
          <w:color w:val="auto"/>
        </w:rPr>
        <w:t>Government Contract Bid</w:t>
      </w:r>
      <w:r>
        <w:rPr>
          <w:rFonts w:ascii="Arial" w:cs="Arial" w:eastAsia="Arial" w:hAnsi="Arial"/>
          <w:sz w:val="16"/>
          <w:szCs w:val="16"/>
          <w:color w:val="auto"/>
        </w:rPr>
        <w:t>”) is the subject of bid or award protest proceedings resulting from the conduct of the Company or any of its Subsidiaries, and</w:t>
      </w:r>
    </w:p>
    <w:p>
      <w:pPr>
        <w:spacing w:after="0" w:line="1" w:lineRule="exact"/>
        <w:rPr>
          <w:rFonts w:ascii="Arial" w:cs="Arial" w:eastAsia="Arial" w:hAnsi="Arial"/>
          <w:sz w:val="16"/>
          <w:szCs w:val="16"/>
          <w:color w:val="auto"/>
        </w:rPr>
      </w:pPr>
    </w:p>
    <w:p>
      <w:pPr>
        <w:ind w:left="4" w:right="100" w:hanging="4"/>
        <w:spacing w:after="0" w:line="285" w:lineRule="auto"/>
        <w:tabs>
          <w:tab w:leader="none" w:pos="319"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in breach of or default under the terms of any Company Government Contract. The Company and the Company Subsidiaries are in compliance, and have been in compliance since January 1, 2019,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Subsidiaries, taken as a whole, since January 1, 2019, neither any Governmental Entity nor any prime contractor or subcontractor has notified the Company or any Company Subsidiary in writing that the Company or any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Subsidiaries, taken as a whole, since January 1, 2019, no costs incurred by the Company or any Company Subsidiary pertaining to any Company Government Contract have been proposed for disallowance or deemed finally disallowed in writing by a Governmental Entity, and no material payment due to the Company or any Company Subsidiary pertaining to any Company Government Contract has been withheld or set off, nor has any claim been made to withhold or set off any such payment.</w:t>
      </w:r>
    </w:p>
    <w:p>
      <w:pPr>
        <w:spacing w:after="0" w:line="171" w:lineRule="exact"/>
        <w:rPr>
          <w:rFonts w:ascii="Arial" w:cs="Arial" w:eastAsia="Arial" w:hAnsi="Arial"/>
          <w:sz w:val="16"/>
          <w:szCs w:val="16"/>
          <w:color w:val="auto"/>
        </w:rPr>
      </w:pPr>
    </w:p>
    <w:p>
      <w:pPr>
        <w:ind w:left="4" w:right="220" w:firstLine="987"/>
        <w:spacing w:after="0" w:line="342" w:lineRule="auto"/>
        <w:tabs>
          <w:tab w:leader="none" w:pos="1375"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Except as has not been, and would not reasonably be expected to be, individually or in the aggregate, material to the Company and the Company Subsidiaries, taken as a whole, since January 1, 2019, (i) none of the Company, any Company Subsidiary or any of their</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44" w:name="page45"/>
    <w:bookmarkEnd w:id="44"/>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none of the Company or any Company Subsidiary has received any request to show cause (excluding for this purpose ineligibility to bid on certain Contracts due to generally applicable bidding requirements), (iii) none of the Company or any Company Subsidiary, to the Company’s Knowledge, is the subject of a finding of non-compliance, nonresponsibility or ineligibility for government contracting, (iv) none of the Company or any Company Subsidiary is for any reason listed on the List of Parties Excluded from Federal Procurement and Nonprocurement Programs, (v) neither the Company nor any Company Subsidiary, nor any of their respective directors, officers, employees or Principals (as defined in Federal Acquisition Regulation 52.209-5), nor to the Company’s Knowledge, any consultants or agents of the Company or any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“qui tam” lawsuit, or audit (other than a routine contract audit) or investigation of the Company or any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w:t>
      </w:r>
    </w:p>
    <w:p>
      <w:pPr>
        <w:spacing w:after="0" w:line="2" w:lineRule="exact"/>
        <w:rPr>
          <w:sz w:val="20"/>
          <w:szCs w:val="20"/>
          <w:color w:val="auto"/>
        </w:rPr>
      </w:pPr>
    </w:p>
    <w:p>
      <w:pPr>
        <w:ind w:left="4" w:right="80" w:hanging="4"/>
        <w:spacing w:after="0" w:line="253" w:lineRule="auto"/>
        <w:tabs>
          <w:tab w:leader="none" w:pos="3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w:t>
      </w:r>
    </w:p>
    <w:p>
      <w:pPr>
        <w:spacing w:after="0" w:line="193"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have not had and would not reasonably be expected to have, individually or in the aggregate, a Company Material Adverse Effect, (a) neither the Company nor any Company Subsidiary is in violation of any Environmental Law, (b) none of the properties owned or occupied by the Company or any Company Subsidiary is contaminated with any Hazardous Substance and (c) the Company and the Company Subsidiaries have all permits, licenses and other authorizations required under any Environmental Law and the Company and the Company Subsidiaries are in compliance with such permits, licenses and other authorizations. As of the date hereof, no Proceeding is pending, or to the Company’s Knowledge, threatened, concerning or relating to the operations of the Company or any Company Subsidiary that seeks to impose, or that is reasonably likely to result in the imposition of, any material liability arising under any Environmental Law upon the Company or any Company Subsidiary.</w:t>
      </w:r>
    </w:p>
    <w:p>
      <w:pPr>
        <w:spacing w:after="0" w:line="300" w:lineRule="exact"/>
        <w:rPr>
          <w:sz w:val="20"/>
          <w:szCs w:val="20"/>
          <w:color w:val="auto"/>
        </w:rPr>
      </w:pPr>
    </w:p>
    <w:p>
      <w:pPr>
        <w:ind w:left="444"/>
        <w:spacing w:after="0"/>
        <w:tabs>
          <w:tab w:leader="none" w:pos="1544" w:val="left"/>
        </w:tabs>
        <w:rPr>
          <w:sz w:val="20"/>
          <w:szCs w:val="20"/>
          <w:color w:val="auto"/>
        </w:rPr>
      </w:pPr>
      <w:r>
        <w:rPr>
          <w:rFonts w:ascii="Arial" w:cs="Arial" w:eastAsia="Arial" w:hAnsi="Arial"/>
          <w:sz w:val="18"/>
          <w:szCs w:val="18"/>
          <w:color w:val="auto"/>
        </w:rPr>
        <w:t>Section 3.19.</w:t>
      </w:r>
      <w:r>
        <w:rPr>
          <w:sz w:val="20"/>
          <w:szCs w:val="20"/>
          <w:color w:val="auto"/>
        </w:rPr>
        <w:tab/>
      </w:r>
      <w:r>
        <w:rPr>
          <w:rFonts w:ascii="Arial" w:cs="Arial" w:eastAsia="Arial" w:hAnsi="Arial"/>
          <w:sz w:val="16"/>
          <w:szCs w:val="16"/>
          <w:u w:val="single" w:color="auto"/>
          <w:color w:val="auto"/>
        </w:rPr>
        <w:t>Customers; Suppliers; Resellers; Government Entities</w:t>
      </w:r>
      <w:r>
        <w:rPr>
          <w:rFonts w:ascii="Arial" w:cs="Arial" w:eastAsia="Arial" w:hAnsi="Arial"/>
          <w:sz w:val="16"/>
          <w:szCs w:val="16"/>
          <w:color w:val="auto"/>
        </w:rPr>
        <w:t>.</w:t>
      </w:r>
    </w:p>
    <w:p>
      <w:pPr>
        <w:spacing w:after="0" w:line="117" w:lineRule="exact"/>
        <w:rPr>
          <w:sz w:val="20"/>
          <w:szCs w:val="20"/>
          <w:color w:val="auto"/>
        </w:rPr>
      </w:pPr>
    </w:p>
    <w:p>
      <w:pPr>
        <w:ind w:left="4" w:right="60" w:firstLine="987"/>
        <w:spacing w:after="0" w:line="257" w:lineRule="auto"/>
        <w:tabs>
          <w:tab w:leader="none" w:pos="137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of the Company Disclosure Letter sets forth a list of the top fifteen (15) customers of the Company and the Company Subsidiaries by revenue received during the twelve (12) month period ending May 31, 2021 (each, a “</w:t>
      </w:r>
      <w:r>
        <w:rPr>
          <w:rFonts w:ascii="Arial" w:cs="Arial" w:eastAsia="Arial" w:hAnsi="Arial"/>
          <w:sz w:val="18"/>
          <w:szCs w:val="18"/>
          <w:u w:val="single" w:color="auto"/>
          <w:color w:val="auto"/>
        </w:rPr>
        <w:t>Material Customer</w:t>
      </w:r>
      <w:r>
        <w:rPr>
          <w:rFonts w:ascii="Arial" w:cs="Arial" w:eastAsia="Arial" w:hAnsi="Arial"/>
          <w:sz w:val="18"/>
          <w:szCs w:val="18"/>
          <w:color w:val="auto"/>
        </w:rPr>
        <w:t>” ). As of the date hereof, neither the Company nor any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Subsidiaries.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5" w:name="page46"/>
    <w:bookmarkEnd w:id="45"/>
    <w:p>
      <w:pPr>
        <w:ind w:firstLine="987"/>
        <w:spacing w:after="0" w:line="257" w:lineRule="auto"/>
        <w:tabs>
          <w:tab w:leader="none" w:pos="138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3.19(b)</w:t>
      </w:r>
      <w:r>
        <w:rPr>
          <w:rFonts w:ascii="Arial" w:cs="Arial" w:eastAsia="Arial" w:hAnsi="Arial"/>
          <w:sz w:val="18"/>
          <w:szCs w:val="18"/>
          <w:color w:val="auto"/>
        </w:rPr>
        <w:t xml:space="preserve"> of the Company Disclosure Letter sets forth a list of the top fifteen (15) suppliers and vendors of the Company by spend during the twelve (12) month period ending May 31, 2021 (each, a “</w:t>
      </w:r>
      <w:r>
        <w:rPr>
          <w:rFonts w:ascii="Arial" w:cs="Arial" w:eastAsia="Arial" w:hAnsi="Arial"/>
          <w:sz w:val="18"/>
          <w:szCs w:val="18"/>
          <w:u w:val="single" w:color="auto"/>
          <w:color w:val="auto"/>
        </w:rPr>
        <w:t>Material Supplier</w:t>
      </w:r>
      <w:r>
        <w:rPr>
          <w:rFonts w:ascii="Arial" w:cs="Arial" w:eastAsia="Arial" w:hAnsi="Arial"/>
          <w:sz w:val="18"/>
          <w:szCs w:val="18"/>
          <w:color w:val="auto"/>
        </w:rPr>
        <w:t>”). As of the date hereof, neither the Company nor any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Subsidiaries.</w:t>
      </w:r>
    </w:p>
    <w:p>
      <w:pPr>
        <w:spacing w:after="0" w:line="187" w:lineRule="exact"/>
        <w:rPr>
          <w:rFonts w:ascii="Arial" w:cs="Arial" w:eastAsia="Arial" w:hAnsi="Arial"/>
          <w:sz w:val="18"/>
          <w:szCs w:val="18"/>
          <w:color w:val="auto"/>
        </w:rPr>
      </w:pPr>
    </w:p>
    <w:p>
      <w:pPr>
        <w:ind w:right="100" w:firstLine="987"/>
        <w:spacing w:after="0" w:line="296" w:lineRule="auto"/>
        <w:tabs>
          <w:tab w:leader="none" w:pos="137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Section 3.19(c)</w:t>
      </w:r>
      <w:r>
        <w:rPr>
          <w:rFonts w:ascii="Arial" w:cs="Arial" w:eastAsia="Arial" w:hAnsi="Arial"/>
          <w:sz w:val="16"/>
          <w:szCs w:val="16"/>
          <w:color w:val="auto"/>
        </w:rPr>
        <w:t xml:space="preserve"> of the Company Disclosure Letter sets forth a list of the resellers, distributors, or sales agents for the Company Products with revenue received therefrom by the Company or any Company Subsidiary during the twelve month period ending May 31, 2021 in excess of $1,000,000 (each, a “</w:t>
      </w:r>
      <w:r>
        <w:rPr>
          <w:rFonts w:ascii="Arial" w:cs="Arial" w:eastAsia="Arial" w:hAnsi="Arial"/>
          <w:sz w:val="16"/>
          <w:szCs w:val="16"/>
          <w:u w:val="single" w:color="auto"/>
          <w:color w:val="auto"/>
        </w:rPr>
        <w:t>Material Reseller</w:t>
      </w:r>
      <w:r>
        <w:rPr>
          <w:rFonts w:ascii="Arial" w:cs="Arial" w:eastAsia="Arial" w:hAnsi="Arial"/>
          <w:sz w:val="16"/>
          <w:szCs w:val="16"/>
          <w:color w:val="auto"/>
        </w:rPr>
        <w:t>”). As of the date hereof, neither the Company nor any Company Subsidiary has received any written notice from any Material Reseller that such Material Reseller shall not continue as a reseller, distributor, or sales agent, as applicable, to the Company or that such Material Reseller intends to terminate or materially and adversely modify its existing Contracts with the Company or the Company Subsidiaries.</w:t>
      </w:r>
    </w:p>
    <w:p>
      <w:pPr>
        <w:spacing w:after="0" w:line="16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has not had and would not reasonably be expected to have, individually or in the aggregate, a Company Material Adverse Effect, (a) all current insurance policies and insurance Contracts of the Company and the Company Subsidiaries are in full force and effect and are valid and enforceable and cover against the risks as are customary for companies of similar size in the same or similar lines of business and (b) all premiums due thereunder have been paid. Neither the Company nor any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Subsidiaries, taken as a whole.</w:t>
      </w:r>
    </w:p>
    <w:p>
      <w:pPr>
        <w:spacing w:after="0" w:line="17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The information relating to the Company and the Company Subsidiaries, to the extent supplied by or on behalf the Company and the Company Subsidiaries, to be contained in, or incorporated by reference in, the proxy statement/prospectus to be sent to the Company Stockholders in connection with the Merger and the other Transactions (including any amendments or supplements,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Statement/Prospectus</w:t>
      </w:r>
      <w:r>
        <w:rPr>
          <w:rFonts w:ascii="Arial" w:cs="Arial" w:eastAsia="Arial" w:hAnsi="Arial"/>
          <w:sz w:val="16"/>
          <w:szCs w:val="16"/>
          <w:color w:val="auto"/>
        </w:rPr>
        <w:t xml:space="preserve">”) or the Form S-4 (and any amendment or supplement thereto) will not, on the date the Proxy Statement/Prospectus is first mailed to the Company Stockholders or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Statement/Prospectus will comply in all material respects as to form with the requirements of the Exchange Act and the rules and regulations promulgated thereunder. Notwithstanding the foregoing provisions of this </w:t>
      </w:r>
      <w:r>
        <w:rPr>
          <w:rFonts w:ascii="Arial" w:cs="Arial" w:eastAsia="Arial" w:hAnsi="Arial"/>
          <w:sz w:val="16"/>
          <w:szCs w:val="16"/>
          <w:u w:val="single" w:color="auto"/>
          <w:color w:val="auto"/>
        </w:rPr>
        <w:t>Section 3.21</w:t>
      </w:r>
      <w:r>
        <w:rPr>
          <w:rFonts w:ascii="Arial" w:cs="Arial" w:eastAsia="Arial" w:hAnsi="Arial"/>
          <w:sz w:val="16"/>
          <w:szCs w:val="16"/>
          <w:color w:val="auto"/>
        </w:rPr>
        <w:t>, no representation or warranty is made by the Company with respect to information or statements made or incorporated by reference in the Proxy Statement/Prospectus or the Form S-4, which information or statements were not supplied by or on behalf of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6" w:name="page47"/>
    <w:bookmarkEnd w:id="46"/>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3.22.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Company Board of Directors has received an opinion of Qatalyst Partners LP (“</w:t>
      </w:r>
      <w:r>
        <w:rPr>
          <w:rFonts w:ascii="Arial" w:cs="Arial" w:eastAsia="Arial" w:hAnsi="Arial"/>
          <w:sz w:val="18"/>
          <w:szCs w:val="18"/>
          <w:u w:val="single" w:color="auto"/>
          <w:color w:val="auto"/>
        </w:rPr>
        <w:t>Qatalyst</w:t>
      </w:r>
      <w:r>
        <w:rPr>
          <w:rFonts w:ascii="Arial" w:cs="Arial" w:eastAsia="Arial" w:hAnsi="Arial"/>
          <w:sz w:val="18"/>
          <w:szCs w:val="18"/>
          <w:color w:val="auto"/>
        </w:rPr>
        <w:t>”) to the effect that, as of the date of such opinion and based upon and subject to the various matters and limitations set forth therein, the Exchange Ratio to be received by the holders of Company Common Stock (other than Parent or any affiliate of Parent), pursuant to, and in accordance with, this Agreement is fair, from a financial point of view, to such holders. A written copy of such opinion will be provided to Parent promptly following receipt by the Company for informational purposes only.</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State Takeover Statutes; Anti-Takeover Laws</w:t>
      </w:r>
      <w:r>
        <w:rPr>
          <w:rFonts w:ascii="Arial" w:cs="Arial" w:eastAsia="Arial" w:hAnsi="Arial"/>
          <w:sz w:val="18"/>
          <w:szCs w:val="18"/>
          <w:color w:val="auto"/>
        </w:rPr>
        <w:t xml:space="preserve">. Assuming the accuracy of Parent’s and Merger Sub’s representations and warranties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 the Company Board of Directors has taken all action necessary to render inapplicable to this Agreement and the Transactions Section 203 of the DGCL and any similar provisions in the Company Governing Documents or any other Takeover Statute. The Company has no rights plan, “poison-pill” or other comparable agreement designed to have the effect of delaying, deferring or discouraging any Person from acquiring control of the Company.</w:t>
      </w:r>
    </w:p>
    <w:p>
      <w:pPr>
        <w:spacing w:after="0" w:line="18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Except as set forth in the Company SEC Documents, there are no transactions, agreements, arrangements or understandings between the Company or any Company Subsidiary, on the one hand, and any affiliate (including any officer or director) thereof, but not including any wholly owned Subsidiary of the Company, on the other hand, that are required to be disclosed under Item 404 of Regulation S-K of the SEC that are not so disclosed.</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Finders and Brokers</w:t>
      </w:r>
      <w:r>
        <w:rPr>
          <w:rFonts w:ascii="Arial" w:cs="Arial" w:eastAsia="Arial" w:hAnsi="Arial"/>
          <w:sz w:val="18"/>
          <w:szCs w:val="18"/>
          <w:color w:val="auto"/>
        </w:rPr>
        <w:t>. Other than Qatalyst, neither the Company nor any Company Subsidiary has employed or engaged any investment banker, broker or finder in connection with the Transactions who is entitled to any fee or any commission in connection with this Agreement or upon or as a result of the consummation of the Merger. A true and complete copy of the engagement letter with Qatalyst has been made available to Parent prior to the date hereof.</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3.26. </w:t>
      </w:r>
      <w:r>
        <w:rPr>
          <w:rFonts w:ascii="Arial" w:cs="Arial" w:eastAsia="Arial" w:hAnsi="Arial"/>
          <w:sz w:val="17"/>
          <w:szCs w:val="17"/>
          <w:u w:val="single" w:color="auto"/>
          <w:color w:val="auto"/>
        </w:rPr>
        <w:t>No Other Representations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the Company acknowledges that none of Parent, Merger Sub, any of their respective Representatives or any other Person makes, and the Company acknowledges that it has not relied upon or otherwise been induced by, any express or implied representation or warranty with respect to Parent or Merger Sub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Without limiting the generality of the foregoing, the Company acknowledges that, except as may be expressly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no representations or warranties are made with respect to any projections, forecasts, estimates, budgets or prospective information that may have been made available, directly or indirectly, to the Company, any of its Representatives or any other Person.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PARENT AND MERGER SUB</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Except as disclosed in (x) Parent’s Annual Report filed on Form 10-K on March 18, 2021 or any other Parent SEC Documents filed or furnished by Parent with the SEC on or after January 1, 2019 and publicly available prior to the date of this Agreement (including any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Arial" w:cs="Arial" w:eastAsia="Arial" w:hAnsi="Arial"/>
          <w:sz w:val="17"/>
          <w:szCs w:val="17"/>
          <w:u w:val="single" w:color="auto"/>
          <w:color w:val="auto"/>
        </w:rPr>
        <w:t>Parent Disclosure Letter</w:t>
      </w:r>
      <w:r>
        <w:rPr>
          <w:rFonts w:ascii="Arial" w:cs="Arial" w:eastAsia="Arial" w:hAnsi="Arial"/>
          <w:sz w:val="17"/>
          <w:szCs w:val="17"/>
          <w:color w:val="auto"/>
        </w:rPr>
        <w:t xml:space="preserve">”) (it being understood that any information set forth in one section or 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for which it is reasonably apparent on its face that such information is relevant to such other section), Parent and Merger Sub represent and warrant to the Company as set forth below.</w:t>
      </w:r>
    </w:p>
    <w:p>
      <w:pPr>
        <w:spacing w:after="0" w:line="18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Qualification, Organization, etc.</w:t>
      </w:r>
      <w:r>
        <w:rPr>
          <w:rFonts w:ascii="Arial" w:cs="Arial" w:eastAsia="Arial" w:hAnsi="Arial"/>
          <w:sz w:val="17"/>
          <w:szCs w:val="17"/>
          <w:color w:val="auto"/>
        </w:rPr>
        <w:t xml:space="preserve"> Each of Parent and Merger Sub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Parent Material Adverse Effect, each of Parent and the Parent Subsidiaries has all requisite corporate or similar power and authority to own, lease and operate its properties and assets and to carry on its business as presently conducted. Each of Parent, Merger Sub and the other Parent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had and would not reasonably be expected to have, individually or in the aggregate, a Parent Material Adverse Effect and (2) has not had and would not, either individually or in the aggregate, reasonably be expected to have a material adverse effect on the ability of Parent or Merger Sub to consummate the Transactions, including the Merger, prior to the Outside Date. Parent has filed with the SEC, prior to the date hereof, complete and accurate copies of the certificate of incorporation and bylaws of Parent as amended to the date hereof (the “</w:t>
      </w:r>
      <w:r>
        <w:rPr>
          <w:rFonts w:ascii="Arial" w:cs="Arial" w:eastAsia="Arial" w:hAnsi="Arial"/>
          <w:sz w:val="17"/>
          <w:szCs w:val="17"/>
          <w:u w:val="single" w:color="auto"/>
          <w:color w:val="auto"/>
        </w:rPr>
        <w:t>Parent Governing Documents</w:t>
      </w:r>
      <w:r>
        <w:rPr>
          <w:rFonts w:ascii="Arial" w:cs="Arial" w:eastAsia="Arial" w:hAnsi="Arial"/>
          <w:sz w:val="17"/>
          <w:szCs w:val="17"/>
          <w:color w:val="auto"/>
        </w:rPr>
        <w:t>”). The Parent Governing Documents are in full force and effect and Parent is not in violation of the Parent Governing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48" w:name="page49"/>
    <w:bookmarkEnd w:id="48"/>
    <w:p>
      <w:pPr>
        <w:ind w:left="444"/>
        <w:spacing w:after="0"/>
        <w:tabs>
          <w:tab w:leader="none" w:pos="14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17" w:lineRule="exact"/>
        <w:rPr>
          <w:sz w:val="20"/>
          <w:szCs w:val="20"/>
          <w:color w:val="auto"/>
        </w:rPr>
      </w:pPr>
    </w:p>
    <w:p>
      <w:pPr>
        <w:ind w:left="4" w:right="120" w:firstLine="987"/>
        <w:spacing w:after="0" w:line="284" w:lineRule="auto"/>
        <w:tabs>
          <w:tab w:leader="none" w:pos="1372"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2,000,000,000 shares of Parent Class A Common Stock, 300,000,000 shares of Class B Common Stock of Parent, par value $0.001 per share (“</w:t>
      </w:r>
      <w:r>
        <w:rPr>
          <w:rFonts w:ascii="Arial" w:cs="Arial" w:eastAsia="Arial" w:hAnsi="Arial"/>
          <w:sz w:val="16"/>
          <w:szCs w:val="16"/>
          <w:u w:val="single" w:color="auto"/>
          <w:color w:val="auto"/>
        </w:rPr>
        <w:t>Parent Class B Common Stock</w:t>
      </w:r>
      <w:r>
        <w:rPr>
          <w:rFonts w:ascii="Arial" w:cs="Arial" w:eastAsia="Arial" w:hAnsi="Arial"/>
          <w:sz w:val="16"/>
          <w:szCs w:val="16"/>
          <w:color w:val="auto"/>
        </w:rPr>
        <w:t>”) and 200,000,000 shares of preferred stock, par value $0.001 per share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July 14, 2021 (the “</w:t>
      </w:r>
      <w:r>
        <w:rPr>
          <w:rFonts w:ascii="Arial" w:cs="Arial" w:eastAsia="Arial" w:hAnsi="Arial"/>
          <w:sz w:val="16"/>
          <w:szCs w:val="16"/>
          <w:u w:val="single" w:color="auto"/>
          <w:color w:val="auto"/>
        </w:rPr>
        <w:t>Parent Capitalization Date</w:t>
      </w:r>
      <w:r>
        <w:rPr>
          <w:rFonts w:ascii="Arial" w:cs="Arial" w:eastAsia="Arial" w:hAnsi="Arial"/>
          <w:sz w:val="16"/>
          <w:szCs w:val="16"/>
          <w:color w:val="auto"/>
        </w:rPr>
        <w:t>”): (i) (A) 240,192,310 shares of Parent Class A Common Stock were issued and outstanding, (B) no shares of Parent Class A Common Stock were held in Parent’s treasury, (C) options granted under Parent Equity Plans to purchase 268,481 shares of Parent Class A Common Stock were outstanding with a weighted average exercise price per share of $68.81, and (D) restricted stock unit awards granted under Parent Equity Plans covering 4,116,533 shares of Parent Class A Common Stock were outstanding; (ii) 57,629,824 shares of Parent Class A Common Stock were reserved for future issuance pursuant to the Parent Equity Plans; (iii)</w:t>
      </w:r>
    </w:p>
    <w:p>
      <w:pPr>
        <w:spacing w:after="0" w:line="2" w:lineRule="exact"/>
        <w:rPr>
          <w:rFonts w:ascii="Arial" w:cs="Arial" w:eastAsia="Arial" w:hAnsi="Arial"/>
          <w:sz w:val="16"/>
          <w:szCs w:val="16"/>
          <w:color w:val="auto"/>
        </w:rPr>
      </w:pPr>
    </w:p>
    <w:p>
      <w:pPr>
        <w:ind w:left="4" w:right="40" w:hanging="4"/>
        <w:spacing w:after="0" w:line="290" w:lineRule="auto"/>
        <w:tabs>
          <w:tab w:leader="none" w:pos="299" w:val="left"/>
        </w:tabs>
        <w:numPr>
          <w:ilvl w:val="0"/>
          <w:numId w:val="60"/>
        </w:numPr>
        <w:rPr>
          <w:rFonts w:ascii="Arial" w:cs="Arial" w:eastAsia="Arial" w:hAnsi="Arial"/>
          <w:sz w:val="16"/>
          <w:szCs w:val="16"/>
          <w:color w:val="auto"/>
        </w:rPr>
      </w:pPr>
      <w:r>
        <w:rPr>
          <w:rFonts w:ascii="Arial" w:cs="Arial" w:eastAsia="Arial" w:hAnsi="Arial"/>
          <w:sz w:val="16"/>
          <w:szCs w:val="16"/>
          <w:color w:val="auto"/>
        </w:rPr>
        <w:t>56,769,531 shares of Parent Class B Common Stock were issued and outstanding, (B) no shares of Parent Class B Common Stock were held in Parent’s treasury, (C) options granted under Parent Equity Plans to purchase 7,354,876 shares of Parent Class B Common Stock were outstanding with a weighted average exercise price per share of $5.34; (iv) 460,157 shares of Parent Class A Common Stock were reserved for issuance pursuant to Parent’s 2019 Employee Stock Purchase Plan; and (v) no shares of Parent Preferred Stock were issued and outstanding. All the outstanding shares of Parent Class A Common Stock are, and all shares of Parent Class A Common Stock reserved for issuance as described above shall be, when issued in accordance with the respective terms thereof, duly authorized, validly issued, fully paid and nonassessable and free of preemptive rights.</w:t>
      </w:r>
    </w:p>
    <w:p>
      <w:pPr>
        <w:spacing w:after="0" w:line="163" w:lineRule="exact"/>
        <w:rPr>
          <w:rFonts w:ascii="Arial" w:cs="Arial" w:eastAsia="Arial" w:hAnsi="Arial"/>
          <w:sz w:val="16"/>
          <w:szCs w:val="16"/>
          <w:color w:val="auto"/>
        </w:rPr>
      </w:pPr>
    </w:p>
    <w:p>
      <w:pPr>
        <w:ind w:left="4" w:firstLine="987"/>
        <w:spacing w:after="0" w:line="290" w:lineRule="auto"/>
        <w:tabs>
          <w:tab w:leader="none" w:pos="1385"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and other than the shares of Parent Class A Common Stock that have become outstanding after the Parent Capitalization Date that were reserved for issuance as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 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w:t>
      </w:r>
    </w:p>
    <w:p>
      <w:pPr>
        <w:spacing w:after="0" w:line="165" w:lineRule="exact"/>
        <w:rPr>
          <w:rFonts w:ascii="Arial" w:cs="Arial" w:eastAsia="Arial" w:hAnsi="Arial"/>
          <w:sz w:val="16"/>
          <w:szCs w:val="16"/>
          <w:color w:val="auto"/>
        </w:rPr>
      </w:pPr>
    </w:p>
    <w:p>
      <w:pPr>
        <w:jc w:val="both"/>
        <w:ind w:left="4" w:right="120" w:firstLine="987"/>
        <w:spacing w:after="0" w:line="342" w:lineRule="auto"/>
        <w:tabs>
          <w:tab w:leader="none" w:pos="1375" w:val="left"/>
        </w:tabs>
        <w:numPr>
          <w:ilvl w:val="1"/>
          <w:numId w:val="60"/>
        </w:numPr>
        <w:rPr>
          <w:rFonts w:ascii="Arial" w:cs="Arial" w:eastAsia="Arial" w:hAnsi="Arial"/>
          <w:sz w:val="16"/>
          <w:szCs w:val="16"/>
          <w:color w:val="auto"/>
        </w:rPr>
      </w:pPr>
      <w:r>
        <w:rPr>
          <w:rFonts w:ascii="Arial" w:cs="Arial" w:eastAsia="Arial" w:hAnsi="Arial"/>
          <w:sz w:val="16"/>
          <w:szCs w:val="16"/>
          <w:color w:val="auto"/>
        </w:rPr>
        <w:t>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w:t>
      </w:r>
    </w:p>
    <w:p>
      <w:pPr>
        <w:spacing w:after="0" w:line="123" w:lineRule="exact"/>
        <w:rPr>
          <w:rFonts w:ascii="Arial" w:cs="Arial" w:eastAsia="Arial" w:hAnsi="Arial"/>
          <w:sz w:val="16"/>
          <w:szCs w:val="16"/>
          <w:color w:val="auto"/>
        </w:rPr>
      </w:pPr>
    </w:p>
    <w:p>
      <w:pPr>
        <w:ind w:left="4" w:right="200" w:firstLine="987"/>
        <w:spacing w:after="0" w:line="277" w:lineRule="auto"/>
        <w:tabs>
          <w:tab w:leader="none" w:pos="138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There are no voting trusts or other agreements, commitments or understandings to which Parent or any Parent Subsidiary is a party with respect to the voting of the capital stock or other equity interests of Parent or any Parent Subsidiary.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9" w:name="page50"/>
    <w:bookmarkEnd w:id="49"/>
    <w:p>
      <w:pPr>
        <w:ind w:left="4" w:firstLine="987"/>
        <w:spacing w:after="0" w:line="263" w:lineRule="auto"/>
        <w:tabs>
          <w:tab w:leader="none" w:pos="1372"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authorized capital stock of Merger Sub consists solely of 1,000 shares of common stock, par value $0.01 per share, all of which are validly issued and outstanding. All of the issued and outstanding capital stock of Merger Sub is, and as of the Effective Time shall be, directly owned by Parent.</w:t>
      </w:r>
    </w:p>
    <w:p>
      <w:pPr>
        <w:spacing w:after="0" w:line="292"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Corporate Authority</w:t>
      </w:r>
      <w:r>
        <w:rPr>
          <w:rFonts w:ascii="Arial" w:cs="Arial" w:eastAsia="Arial" w:hAnsi="Arial"/>
          <w:sz w:val="16"/>
          <w:szCs w:val="16"/>
          <w:color w:val="auto"/>
        </w:rPr>
        <w:t>.</w:t>
      </w:r>
    </w:p>
    <w:p>
      <w:pPr>
        <w:spacing w:after="0" w:line="117" w:lineRule="exact"/>
        <w:rPr>
          <w:sz w:val="20"/>
          <w:szCs w:val="20"/>
          <w:color w:val="auto"/>
        </w:rPr>
      </w:pPr>
    </w:p>
    <w:p>
      <w:pPr>
        <w:jc w:val="both"/>
        <w:ind w:left="4" w:firstLine="987"/>
        <w:spacing w:after="0" w:line="296" w:lineRule="auto"/>
        <w:tabs>
          <w:tab w:leader="none" w:pos="1375" w:val="left"/>
        </w:tabs>
        <w:numPr>
          <w:ilvl w:val="0"/>
          <w:numId w:val="62"/>
        </w:numPr>
        <w:rPr>
          <w:rFonts w:ascii="Arial" w:cs="Arial" w:eastAsia="Arial" w:hAnsi="Arial"/>
          <w:sz w:val="16"/>
          <w:szCs w:val="16"/>
          <w:color w:val="auto"/>
        </w:rPr>
      </w:pPr>
      <w:r>
        <w:rPr>
          <w:rFonts w:ascii="Arial" w:cs="Arial" w:eastAsia="Arial" w:hAnsi="Arial"/>
          <w:sz w:val="16"/>
          <w:szCs w:val="16"/>
          <w:color w:val="auto"/>
        </w:rPr>
        <w:t>Parent and Merger Sub have all requisite corporate power and authority to execute and deliver this Agreement and to consummate the Transactions, including the Merger. The execution and delivery of this Agreement and the consummation of the Transactions have been duly and validly authorized by all necessary corporate action of each of Parent and Merger Sub and no other corporate proceedings (pursuant to the Parent Governing Documents or otherwise) on the part of Parent or Merger Sub are necessary to authorize the consummation of, and to consummate, the Transactions, except, with respect to the Merger, for the filing of the Certificate of Merger with the Secretary of State of the State of Delaware.</w:t>
      </w:r>
    </w:p>
    <w:p>
      <w:pPr>
        <w:spacing w:after="0" w:line="161" w:lineRule="exact"/>
        <w:rPr>
          <w:rFonts w:ascii="Arial" w:cs="Arial" w:eastAsia="Arial" w:hAnsi="Arial"/>
          <w:sz w:val="16"/>
          <w:szCs w:val="16"/>
          <w:color w:val="auto"/>
        </w:rPr>
      </w:pPr>
    </w:p>
    <w:p>
      <w:pPr>
        <w:ind w:left="4" w:right="40" w:firstLine="987"/>
        <w:spacing w:after="0" w:line="259" w:lineRule="auto"/>
        <w:tabs>
          <w:tab w:leader="none" w:pos="13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vote or consent of the holders of any class or series of capital stock of Parent or the holders of any other securities of Parent (equity or otherwise) is necessary to adopt this Agreement, or to approve the Merger or the other Transactions. The vote or consent of Parent, as the sole stockholder of Merger Sub, is the only vote or consent of the holders of any class or series of capital stock of Merger Sub necessary to approve the Merger and adopt this Agreement.</w:t>
      </w:r>
    </w:p>
    <w:p>
      <w:pPr>
        <w:spacing w:after="0" w:line="186" w:lineRule="exact"/>
        <w:rPr>
          <w:rFonts w:ascii="Arial" w:cs="Arial" w:eastAsia="Arial" w:hAnsi="Arial"/>
          <w:sz w:val="18"/>
          <w:szCs w:val="18"/>
          <w:color w:val="auto"/>
        </w:rPr>
      </w:pPr>
    </w:p>
    <w:p>
      <w:pPr>
        <w:ind w:left="4" w:right="80" w:firstLine="987"/>
        <w:spacing w:after="0" w:line="263" w:lineRule="auto"/>
        <w:tabs>
          <w:tab w:leader="none" w:pos="137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each of Parent and Merger Sub and, assuming this Agreement constitutes the valid and binding agreement of the Company, constitutes the valid and binding agreement of Parent and Merger Sub, enforceable against each of Parent and Merger Sub in accordance with its terms, subject to the Enforceability Limitations.</w:t>
      </w:r>
    </w:p>
    <w:p>
      <w:pPr>
        <w:spacing w:after="0" w:line="292"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Governmental Consents; No Violation</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86" w:lineRule="auto"/>
        <w:tabs>
          <w:tab w:leader="none" w:pos="1375" w:val="left"/>
        </w:tabs>
        <w:numPr>
          <w:ilvl w:val="1"/>
          <w:numId w:val="63"/>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(ii) the filing of the Proxy Statement/Prospectus and the Form S-4 with the SEC and any amendments or supplements thereto and declaration of effectiveness of the Form S-4 and the mailing of the Proxy Statement/Prospectus, (iii) the Securities Act, (iv) the Exchange Act, (v) applicable state securities, takeover and “blue sky” Laws, (vi) the HSR Act and any other requisite clearances or approvals under any other applicable requirements of other Antitrust Laws, (vii) the Communications Approvals, and</w:t>
      </w:r>
    </w:p>
    <w:p>
      <w:pPr>
        <w:spacing w:after="0" w:line="1" w:lineRule="exact"/>
        <w:rPr>
          <w:rFonts w:ascii="Arial" w:cs="Arial" w:eastAsia="Arial" w:hAnsi="Arial"/>
          <w:sz w:val="16"/>
          <w:szCs w:val="16"/>
          <w:color w:val="auto"/>
        </w:rPr>
      </w:pPr>
    </w:p>
    <w:p>
      <w:pPr>
        <w:ind w:left="4" w:right="20" w:hanging="4"/>
        <w:spacing w:after="0" w:line="253" w:lineRule="auto"/>
        <w:tabs>
          <w:tab w:leader="none" w:pos="4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applicable requirements of Nasdaq, no authorization, permit, notification to, consent or approval of, or filing with, any Governmental Entity is anticipated to be necessary or required, under applicable Law, for the consummation by Parent and Merger Sub of the Transactions, except for such authorizations, permits, notifications, consents, approvals or filings that, if not obtained or made, would not reasonably be expected to have, individually or in the aggregate, (1) a Parent Material Adverse Effect or (2) a material adverse effect on the ability of Parent or Merger Sub to consummate the Transactions, including the Merger, prior to the Outside Date.</w:t>
      </w:r>
    </w:p>
    <w:p>
      <w:pPr>
        <w:spacing w:after="0" w:line="190" w:lineRule="exact"/>
        <w:rPr>
          <w:rFonts w:ascii="Arial" w:cs="Arial" w:eastAsia="Arial" w:hAnsi="Arial"/>
          <w:sz w:val="18"/>
          <w:szCs w:val="18"/>
          <w:color w:val="auto"/>
        </w:rPr>
      </w:pPr>
    </w:p>
    <w:p>
      <w:pPr>
        <w:ind w:left="4" w:right="520" w:firstLine="987"/>
        <w:spacing w:after="0" w:line="277" w:lineRule="auto"/>
        <w:tabs>
          <w:tab w:leader="none" w:pos="1382"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The execution and delivery by Parent and Merger Sub of this Agreement do not, and, except as described in </w:t>
      </w:r>
      <w:r>
        <w:rPr>
          <w:rFonts w:ascii="Arial" w:cs="Arial" w:eastAsia="Arial" w:hAnsi="Arial"/>
          <w:sz w:val="18"/>
          <w:szCs w:val="18"/>
          <w:u w:val="single" w:color="auto"/>
          <w:color w:val="auto"/>
        </w:rPr>
        <w:t>Section 4.4(a)</w:t>
      </w:r>
      <w:r>
        <w:rPr>
          <w:rFonts w:ascii="Arial" w:cs="Arial" w:eastAsia="Arial" w:hAnsi="Arial"/>
          <w:sz w:val="18"/>
          <w:szCs w:val="18"/>
          <w:color w:val="auto"/>
        </w:rPr>
        <w:t>, the consummation of the Transactions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50" w:name="page51"/>
    <w:bookmarkEnd w:id="5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(ii)(B) and </w:t>
      </w:r>
      <w:r>
        <w:rPr>
          <w:rFonts w:ascii="Arial" w:cs="Arial" w:eastAsia="Arial" w:hAnsi="Arial"/>
          <w:sz w:val="17"/>
          <w:szCs w:val="17"/>
          <w:u w:val="single" w:color="auto"/>
          <w:color w:val="auto"/>
        </w:rPr>
        <w:t>(iii)</w:t>
      </w:r>
      <w:r>
        <w:rPr>
          <w:rFonts w:ascii="Arial" w:cs="Arial" w:eastAsia="Arial" w:hAnsi="Arial"/>
          <w:sz w:val="17"/>
          <w:szCs w:val="17"/>
          <w:color w:val="auto"/>
        </w:rPr>
        <w:t>, any such violation, breach, conflict, default, termination, modification, cancellation, acceleration, right, loss or Lien that has not had and would not reasonably be expected to have, individually or in the aggregate, (1) a Parent Material Adverse Effect or (2) a material adverse effect on the ability of Parent or Merger Sub to consummate the Transactions, including the Merger, prior to the Outside Date.</w:t>
      </w:r>
    </w:p>
    <w:p>
      <w:pPr>
        <w:spacing w:after="0" w:line="29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5"/>
          <w:szCs w:val="15"/>
          <w:u w:val="single" w:color="auto"/>
          <w:color w:val="auto"/>
        </w:rPr>
        <w:t>SEC Reports and Financial Statements</w:t>
      </w:r>
      <w:r>
        <w:rPr>
          <w:rFonts w:ascii="Arial" w:cs="Arial" w:eastAsia="Arial" w:hAnsi="Arial"/>
          <w:sz w:val="15"/>
          <w:szCs w:val="15"/>
          <w:color w:val="auto"/>
        </w:rPr>
        <w:t>.</w:t>
      </w:r>
    </w:p>
    <w:p>
      <w:pPr>
        <w:spacing w:after="0" w:line="117" w:lineRule="exact"/>
        <w:rPr>
          <w:sz w:val="20"/>
          <w:szCs w:val="20"/>
          <w:color w:val="auto"/>
        </w:rPr>
      </w:pPr>
    </w:p>
    <w:p>
      <w:pPr>
        <w:ind w:right="20" w:firstLine="987"/>
        <w:spacing w:after="0" w:line="286" w:lineRule="auto"/>
        <w:tabs>
          <w:tab w:leader="none" w:pos="1371" w:val="left"/>
        </w:tabs>
        <w:numPr>
          <w:ilvl w:val="0"/>
          <w:numId w:val="65"/>
        </w:numPr>
        <w:rPr>
          <w:rFonts w:ascii="Arial" w:cs="Arial" w:eastAsia="Arial" w:hAnsi="Arial"/>
          <w:sz w:val="16"/>
          <w:szCs w:val="16"/>
          <w:color w:val="auto"/>
        </w:rPr>
      </w:pPr>
      <w:r>
        <w:rPr>
          <w:rFonts w:ascii="Arial" w:cs="Arial" w:eastAsia="Arial" w:hAnsi="Arial"/>
          <w:sz w:val="16"/>
          <w:szCs w:val="16"/>
          <w:color w:val="auto"/>
        </w:rPr>
        <w:t>Since February 1, 2019, Parent has timely filed or furnished all forms, statements, schedules, documents and reports required to be filed or furnished prior to the date hereof by it with the SEC (such forms, statements, schedules, documents and reports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(or with respect to Parent SEC Documents filed after the date hereof, will contain) any untrue statement of a material fact or omitted (or with respect to Parent SEC Documents filed after the date hereof, will omit) to state any material fact required to be stated therein or necessary to make the statements therein, in light of the circumstances under which they were made, not misleading. Since February 1, 2019,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w:t>
      </w:r>
    </w:p>
    <w:p>
      <w:pPr>
        <w:spacing w:after="0" w:line="173" w:lineRule="exact"/>
        <w:rPr>
          <w:rFonts w:ascii="Arial" w:cs="Arial" w:eastAsia="Arial" w:hAnsi="Arial"/>
          <w:sz w:val="16"/>
          <w:szCs w:val="16"/>
          <w:color w:val="auto"/>
        </w:rPr>
      </w:pPr>
    </w:p>
    <w:p>
      <w:pPr>
        <w:ind w:right="60" w:firstLine="987"/>
        <w:spacing w:after="0" w:line="279" w:lineRule="auto"/>
        <w:tabs>
          <w:tab w:leader="none" w:pos="137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51" w:name="page52"/>
    <w:bookmarkEnd w:id="51"/>
    <w:p>
      <w:pPr>
        <w:ind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61" w:lineRule="exact"/>
        <w:rPr>
          <w:sz w:val="20"/>
          <w:szCs w:val="20"/>
          <w:color w:val="auto"/>
        </w:rPr>
      </w:pPr>
    </w:p>
    <w:p>
      <w:pPr>
        <w:ind w:right="120" w:firstLine="987"/>
        <w:spacing w:after="0" w:line="254" w:lineRule="auto"/>
        <w:tabs>
          <w:tab w:leader="none" w:pos="13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written notice from any Governmental Entity challenging or questioning the accuracy, completeness, form or manner of filing of such certifications.</w:t>
      </w:r>
    </w:p>
    <w:p>
      <w:pPr>
        <w:spacing w:after="0" w:line="194" w:lineRule="exact"/>
        <w:rPr>
          <w:rFonts w:ascii="Arial" w:cs="Arial" w:eastAsia="Arial" w:hAnsi="Arial"/>
          <w:sz w:val="18"/>
          <w:szCs w:val="18"/>
          <w:color w:val="auto"/>
        </w:rPr>
      </w:pPr>
    </w:p>
    <w:p>
      <w:pPr>
        <w:ind w:firstLine="987"/>
        <w:spacing w:after="0" w:line="255" w:lineRule="auto"/>
        <w:tabs>
          <w:tab w:leader="none" w:pos="1381"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w:t>
      </w:r>
    </w:p>
    <w:p>
      <w:pPr>
        <w:spacing w:after="0" w:line="192"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Internal Controls and Procedures</w:t>
      </w:r>
      <w:r>
        <w:rPr>
          <w:rFonts w:ascii="Arial" w:cs="Arial" w:eastAsia="Arial" w:hAnsi="Arial"/>
          <w:sz w:val="16"/>
          <w:szCs w:val="16"/>
          <w:color w:val="auto"/>
        </w:rPr>
        <w:t>. Parent has established and maintains, and at all times since January 31, 2019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31, 2019,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(i) any significant deficiencies and material weaknesses in the design or operation of internal controls over financial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2" w:name="page53"/>
    <w:bookmarkEnd w:id="52"/>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reporting, (ii) any fraud, whether or not material, that involves management or other employees who have a significant role in the Company’s internal controls over financial reporting and (iii) any written claim or allegation regarding clauses (i) or (ii). Since January 31, 2019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w:t>
      </w:r>
    </w:p>
    <w:p>
      <w:pPr>
        <w:spacing w:after="0" w:line="157"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January 31, 2021 included in the Parent SEC Documents filed or furnished prior to the date hereof, (b) for liabilities incurred or which have been discharged or paid in full, in each case, in the ordinary course of business consistent with past practice since January 31, 2021 (other than any liability for any material breaches of Contracts), (c) as expressly required or contemplated by this Agreement and (d) for liabilities which have not had and would not reasonably be expected to have, individually or in the aggregate, a Parent Material Adverse Effect.</w:t>
      </w:r>
    </w:p>
    <w:p>
      <w:pPr>
        <w:spacing w:after="0" w:line="16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From January 31, 2021 through the date hereof, there has not occurred any Effect that has had or would reasonably be expected to have, individually or in the aggregate, a Parent Material Adverse Effect.</w:t>
      </w:r>
    </w:p>
    <w:p>
      <w:pPr>
        <w:spacing w:after="0" w:line="278"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Compliance with Law</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6" w:lineRule="auto"/>
        <w:tabs>
          <w:tab w:leader="none" w:pos="1371" w:val="left"/>
        </w:tabs>
        <w:numPr>
          <w:ilvl w:val="0"/>
          <w:numId w:val="67"/>
        </w:numPr>
        <w:rPr>
          <w:rFonts w:ascii="Arial" w:cs="Arial" w:eastAsia="Arial" w:hAnsi="Arial"/>
          <w:sz w:val="16"/>
          <w:szCs w:val="16"/>
          <w:color w:val="auto"/>
        </w:rPr>
      </w:pPr>
      <w:r>
        <w:rPr>
          <w:rFonts w:ascii="Arial" w:cs="Arial" w:eastAsia="Arial" w:hAnsi="Arial"/>
          <w:sz w:val="16"/>
          <w:szCs w:val="16"/>
          <w:color w:val="auto"/>
        </w:rPr>
        <w:t>Parent and each Parent Subsidiary are and have been since January 1, 2019 in compliance with and not in default under or in violation of any Laws (including Environmental Laws and employee benefits and labor Laws) applicable to Parent, such Subsidiary or any of their respective properties or assets, except where such noncompliance, default or violation has not had and would not reasonably be expected to have, individually or in the aggregate, a Parent Material Adverse Effect. Since January 1, 2019, neither Parent nor any Parent Subsidiary has received written notice of any violation of Communications Law applicable to Parent and any Parent Subsidiary or has been the subject of a fine or consent decree relating to compliance with any Communications Law applicable to Parent or any Parent Subsidiary, except (x) as would not reasonably be expected to materially delay, materially impede or prevent the consummation of the Transactions on or before the Outside Date and (y) as has not had and would not reasonably be expected to have a Parent Material Adverse Effect. Parent and the Parent Subsidiaries are in compliance with (i) the Communications Assistance for Law Enforcement Act of 1994 and all rules and regulations promulgated thereunder, as and if applicable and (ii) all applicable FCC and State PUC universal service rules, including but not limited to filing obligations, universal service assessments, and the rules governing any universal service support received (directly or from customers subsidized under the applicable rules), and (iii) since January 1, 2019 have paid all regulatory fees, telecommunications relay service fees and other payments required to be made by them prior to the date of this Agreement under the rules or policies of the FCC or any State PUC, except in each case of the foregoing clauses (i)-(iii) where such noncompliance or nonpayment (x) would not reasonably be expected to materially delay, materially impede or prevent the consummation of the Transactions on or before the Outside Date and (y) has not had and would not reasonably be expected to have a Parent Material Adverse Effect.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53" w:name="page54"/>
    <w:bookmarkEnd w:id="53"/>
    <w:p>
      <w:pPr>
        <w:ind w:right="140" w:firstLine="987"/>
        <w:spacing w:after="0" w:line="289" w:lineRule="auto"/>
        <w:tabs>
          <w:tab w:leader="none" w:pos="1381"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and each Parent Subsidiary are, and since January 1, 2019 have been,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(including pursuant to Communications Laws) necessary for Parent and the Parent Subsidiaries to own, lease and operate their properties and assets or to carry on their businesses as they are now being conducted (the “</w:t>
      </w:r>
      <w:r>
        <w:rPr>
          <w:rFonts w:ascii="Arial" w:cs="Arial" w:eastAsia="Arial" w:hAnsi="Arial"/>
          <w:sz w:val="16"/>
          <w:szCs w:val="16"/>
          <w:u w:val="single" w:color="auto"/>
          <w:color w:val="auto"/>
        </w:rPr>
        <w:t>Parent Permits</w:t>
      </w:r>
      <w:r>
        <w:rPr>
          <w:rFonts w:ascii="Arial" w:cs="Arial" w:eastAsia="Arial" w:hAnsi="Arial"/>
          <w:sz w:val="16"/>
          <w:szCs w:val="16"/>
          <w:color w:val="auto"/>
        </w:rPr>
        <w:t>”), except where the failure to have any of the Parent Permits has not had and would not reasonably be expected to have, individually or in the aggregate, a Parent Material Adverse Effect.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w:t>
      </w:r>
    </w:p>
    <w:p>
      <w:pPr>
        <w:spacing w:after="0" w:line="166" w:lineRule="exact"/>
        <w:rPr>
          <w:rFonts w:ascii="Arial" w:cs="Arial" w:eastAsia="Arial" w:hAnsi="Arial"/>
          <w:sz w:val="16"/>
          <w:szCs w:val="16"/>
          <w:color w:val="auto"/>
        </w:rPr>
      </w:pPr>
    </w:p>
    <w:p>
      <w:pPr>
        <w:ind w:left="1360" w:hanging="373"/>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listing and other rules and regulations of Nasdaq.</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 Orders</w:t>
      </w:r>
      <w:r>
        <w:rPr>
          <w:rFonts w:ascii="Arial" w:cs="Arial" w:eastAsia="Arial" w:hAnsi="Arial"/>
          <w:sz w:val="18"/>
          <w:szCs w:val="18"/>
          <w:color w:val="auto"/>
        </w:rPr>
        <w:t>. As of the date hereof, there are no Proceedings pending or, to Parent’s Knowledge, threatened against Parent or any Parent Subsidiary or any of their respective properties, rights or assets by or before, and there are no orders, judgments or decrees of or settlement agreements with, any Governmental Entity, that are or would reasonably be expected to be, individually or in the aggregate, material to Parent and the Parent Subsidiaries, taken as a whole.</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xml:space="preserve">. The information relating to Parent and the Parent Subsidiaries, to the extent supplied by or on behalf Parent and the Parent Subsidiaries, to be contained in, or incorporated by reference in, the Proxy Statement/Prospectus and the Form S-4 (and any amendment or supplement thereto) will not, on the date the Proxy Statement/Prospectus is first mailed to the Company Stockholders or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Form S-4 will comply in all material respects as to form with the requirements of both the Exchange Act and the Securities Act and the rules and regulations promulgated thereunder. Notwithstanding the foregoing provisions of this </w:t>
      </w:r>
      <w:r>
        <w:rPr>
          <w:rFonts w:ascii="Arial" w:cs="Arial" w:eastAsia="Arial" w:hAnsi="Arial"/>
          <w:sz w:val="17"/>
          <w:szCs w:val="17"/>
          <w:u w:val="single" w:color="auto"/>
          <w:color w:val="auto"/>
        </w:rPr>
        <w:t>Section 4.11</w:t>
      </w:r>
      <w:r>
        <w:rPr>
          <w:rFonts w:ascii="Arial" w:cs="Arial" w:eastAsia="Arial" w:hAnsi="Arial"/>
          <w:sz w:val="17"/>
          <w:szCs w:val="17"/>
          <w:color w:val="auto"/>
        </w:rPr>
        <w:t>, no representation or warranty is made by Parent or Merger Sub with respect to information or statements made or incorporated by reference in the Proxy Statement/Prospectus or the Form S-4, which information or statements were not supplied by or on behalf of Parent or Merger Sub.</w:t>
      </w:r>
    </w:p>
    <w:p>
      <w:pPr>
        <w:spacing w:after="0" w:line="18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Valid Issuance</w:t>
      </w:r>
      <w:r>
        <w:rPr>
          <w:rFonts w:ascii="Arial" w:cs="Arial" w:eastAsia="Arial" w:hAnsi="Arial"/>
          <w:sz w:val="18"/>
          <w:szCs w:val="18"/>
          <w:color w:val="auto"/>
        </w:rPr>
        <w:t>. The Parent Class A Common Stock to be issued as Merger Consideration pursuant to the terms hereof, when issued as provided in and pursuant to the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4" w:name="page55"/>
    <w:bookmarkEnd w:id="54"/>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this Agreement, will be duly authorized and validly issued, fully paid and nonassessable, and (other than restrictions under applicable securities laws, or restrictions created by any Company Stockholder) will be free of restrictions on transfer.</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Finders and Brokers</w:t>
      </w:r>
      <w:r>
        <w:rPr>
          <w:rFonts w:ascii="Arial" w:cs="Arial" w:eastAsia="Arial" w:hAnsi="Arial"/>
          <w:sz w:val="18"/>
          <w:szCs w:val="18"/>
          <w:color w:val="auto"/>
        </w:rPr>
        <w:t>. Other than Goldman Sachs &amp; Co. LLC, neither Parent nor any Parent Subsidiary has employed or engaged any investment banker, broker or finder in connection with the Transactions who is entitled to any fee or any commission in connection with this Agreement or upon the consummation of the Merger.</w:t>
      </w:r>
    </w:p>
    <w:p>
      <w:pPr>
        <w:spacing w:after="0" w:line="184"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Stock Ownership</w:t>
      </w:r>
      <w:r>
        <w:rPr>
          <w:rFonts w:ascii="Arial" w:cs="Arial" w:eastAsia="Arial" w:hAnsi="Arial"/>
          <w:sz w:val="17"/>
          <w:szCs w:val="17"/>
          <w:color w:val="auto"/>
        </w:rPr>
        <w:t>. Parent is not, nor at any time for the past three (3) years has been, an “interested stockholder” of the Company as defined in Section 203 of the DGCL. Neither Parent nor any Parent Subsidiary directly or indirectly owns as of the date hereof, nor at any time in the past three (3) years through the date hereof has directly or indirectly owned, any shares of Company Common Stock.</w:t>
      </w:r>
    </w:p>
    <w:p>
      <w:pPr>
        <w:spacing w:after="0" w:line="165"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No Merger Sub Activity</w:t>
      </w:r>
      <w:r>
        <w:rPr>
          <w:rFonts w:ascii="Arial" w:cs="Arial" w:eastAsia="Arial" w:hAnsi="Arial"/>
          <w:sz w:val="18"/>
          <w:szCs w:val="18"/>
          <w:color w:val="auto"/>
        </w:rPr>
        <w:t>. Merger Sub was newly formed by Parent for the sole purpose of entering into this Agreement and effecting the Transactions and has no assets or liabilities other than those incident to its formation, the execution of this Agreement and the completion of the Transactions. Since its date of formation, Merger Sub has not conducted any business or engaged in any activities other than in connection with this Agreement and the Transactions.</w:t>
      </w:r>
    </w:p>
    <w:p>
      <w:pPr>
        <w:spacing w:after="0" w:line="295" w:lineRule="exact"/>
        <w:rPr>
          <w:sz w:val="20"/>
          <w:szCs w:val="20"/>
          <w:color w:val="auto"/>
        </w:rPr>
      </w:pPr>
    </w:p>
    <w:p>
      <w:pPr>
        <w:ind w:left="444"/>
        <w:spacing w:after="0"/>
        <w:tabs>
          <w:tab w:leader="none" w:pos="1544"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17" w:lineRule="exact"/>
        <w:rPr>
          <w:sz w:val="20"/>
          <w:szCs w:val="20"/>
          <w:color w:val="auto"/>
        </w:rPr>
      </w:pPr>
    </w:p>
    <w:p>
      <w:pPr>
        <w:jc w:val="both"/>
        <w:ind w:left="4" w:right="20" w:firstLine="987"/>
        <w:spacing w:after="0" w:line="259" w:lineRule="auto"/>
        <w:tabs>
          <w:tab w:leader="none" w:pos="1375"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Parent Material Adverse Effect, Parent and the Parent Subsidiaries have timely paid in full to the appropriate Governmental Entity all Taxes required to be paid by any of them, and the financial statements of Parent and the Parent Subsidiaries reflect adequate reserves, in accordance with GAAP, for all Taxes accrued but not yet paid by Parent or any Parent Subsidiary as of the date thereof.</w:t>
      </w:r>
    </w:p>
    <w:p>
      <w:pPr>
        <w:spacing w:after="0" w:line="186" w:lineRule="exact"/>
        <w:rPr>
          <w:rFonts w:ascii="Arial" w:cs="Arial" w:eastAsia="Arial" w:hAnsi="Arial"/>
          <w:sz w:val="18"/>
          <w:szCs w:val="18"/>
          <w:color w:val="auto"/>
        </w:rPr>
      </w:pPr>
    </w:p>
    <w:p>
      <w:pPr>
        <w:ind w:left="1384" w:hanging="393"/>
        <w:spacing w:after="0"/>
        <w:tabs>
          <w:tab w:leader="none" w:pos="1384" w:val="left"/>
        </w:tabs>
        <w:numPr>
          <w:ilvl w:val="1"/>
          <w:numId w:val="6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Parent Material Adverse Effect, there is no</w:t>
      </w:r>
    </w:p>
    <w:p>
      <w:pPr>
        <w:spacing w:after="0" w:line="46" w:lineRule="exact"/>
        <w:rPr>
          <w:rFonts w:ascii="Arial" w:cs="Arial" w:eastAsia="Arial" w:hAnsi="Arial"/>
          <w:sz w:val="16"/>
          <w:szCs w:val="16"/>
          <w:color w:val="auto"/>
        </w:rPr>
      </w:pPr>
    </w:p>
    <w:p>
      <w:pPr>
        <w:jc w:val="both"/>
        <w:ind w:left="4" w:right="120" w:hanging="4"/>
        <w:spacing w:after="0" w:line="302" w:lineRule="auto"/>
        <w:tabs>
          <w:tab w:leader="none" w:pos="219" w:val="left"/>
        </w:tabs>
        <w:numPr>
          <w:ilvl w:val="0"/>
          <w:numId w:val="70"/>
        </w:numPr>
        <w:rPr>
          <w:rFonts w:ascii="Arial" w:cs="Arial" w:eastAsia="Arial" w:hAnsi="Arial"/>
          <w:sz w:val="16"/>
          <w:szCs w:val="16"/>
          <w:color w:val="auto"/>
        </w:rPr>
      </w:pPr>
      <w:r>
        <w:rPr>
          <w:rFonts w:ascii="Arial" w:cs="Arial" w:eastAsia="Arial" w:hAnsi="Arial"/>
          <w:sz w:val="16"/>
          <w:szCs w:val="16"/>
          <w:color w:val="auto"/>
        </w:rPr>
        <w:t>claim, litigation, audit, examination, investigation or other proceeding pending or, to the Knowledge of Parent, threatened in writing with respect to any Taxes or Tax Returns of Parent or any Parent Subsidiary, or (ii) deficiency or adjustment for any amount of Taxes that has been proposed, asserted or assessed by any Governmental Entity against Parent or any Parent Subsidiary and that has not been fully satisfied by payment.</w:t>
      </w:r>
    </w:p>
    <w:p>
      <w:pPr>
        <w:spacing w:after="0" w:line="155" w:lineRule="exact"/>
        <w:rPr>
          <w:rFonts w:ascii="Arial" w:cs="Arial" w:eastAsia="Arial" w:hAnsi="Arial"/>
          <w:sz w:val="16"/>
          <w:szCs w:val="16"/>
          <w:color w:val="auto"/>
        </w:rPr>
      </w:pPr>
    </w:p>
    <w:p>
      <w:pPr>
        <w:ind w:left="4" w:right="20" w:firstLine="987"/>
        <w:spacing w:after="0" w:line="311" w:lineRule="auto"/>
        <w:tabs>
          <w:tab w:leader="none" w:pos="1375"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Parent Material Adverse Effect, none of Parent or any Parent Subsidiary has any material liability for Taxes of any Person (other than Parent or any Parent Subsidiary) under Treasury Regulations Section 1.1502-6 (or any similar provision of state, local, or non-U.S. Law) or as transferee or successor, or otherwise by operation of Law.</w:t>
      </w:r>
    </w:p>
    <w:p>
      <w:pPr>
        <w:spacing w:after="0" w:line="148" w:lineRule="exact"/>
        <w:rPr>
          <w:rFonts w:ascii="Arial" w:cs="Arial" w:eastAsia="Arial" w:hAnsi="Arial"/>
          <w:sz w:val="16"/>
          <w:szCs w:val="16"/>
          <w:color w:val="auto"/>
        </w:rPr>
      </w:pPr>
    </w:p>
    <w:p>
      <w:pPr>
        <w:ind w:left="4" w:right="300" w:firstLine="987"/>
        <w:spacing w:after="0" w:line="277" w:lineRule="auto"/>
        <w:tabs>
          <w:tab w:leader="none" w:pos="1385" w:val="left"/>
        </w:tabs>
        <w:numPr>
          <w:ilvl w:val="1"/>
          <w:numId w:val="70"/>
        </w:numPr>
        <w:rPr>
          <w:rFonts w:ascii="Arial" w:cs="Arial" w:eastAsia="Arial" w:hAnsi="Arial"/>
          <w:sz w:val="18"/>
          <w:szCs w:val="18"/>
          <w:color w:val="auto"/>
        </w:rPr>
      </w:pPr>
      <w:r>
        <w:rPr>
          <w:rFonts w:ascii="Arial" w:cs="Arial" w:eastAsia="Arial" w:hAnsi="Arial"/>
          <w:sz w:val="18"/>
          <w:szCs w:val="18"/>
          <w:color w:val="auto"/>
        </w:rPr>
        <w:t>Neither Parent nor any Parent Subsidiary has participated in any “listed transaction” within the meaning of Treasury Regulations Section 1.6011-4(b)(2) (or any similar provision of state, local or non-U.S. Law).</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4"/>
          </w:cols>
          <w:pgMar w:left="436" w:top="274" w:right="519" w:bottom="1440" w:gutter="0" w:footer="0" w:header="0"/>
        </w:sectPr>
      </w:pPr>
    </w:p>
    <w:bookmarkStart w:id="55" w:name="page56"/>
    <w:bookmarkEnd w:id="55"/>
    <w:p>
      <w:pPr>
        <w:jc w:val="both"/>
        <w:ind w:left="4" w:right="180" w:firstLine="987"/>
        <w:spacing w:after="0" w:line="291" w:lineRule="auto"/>
        <w:tabs>
          <w:tab w:leader="none" w:pos="1375" w:val="left"/>
        </w:tabs>
        <w:numPr>
          <w:ilvl w:val="1"/>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Parent nor any Parent Subsidiary is aware of the existence of any fact, or has taken or agreed to take any action, that would reasonably be expected to (i) prevent or impede the Merger from qualifying as a “reorganization” within the meaning of Section 368(a) of the Code or</w:t>
      </w:r>
    </w:p>
    <w:p>
      <w:pPr>
        <w:ind w:left="4" w:right="600" w:hanging="4"/>
        <w:spacing w:after="0" w:line="260" w:lineRule="auto"/>
        <w:tabs>
          <w:tab w:leader="none" w:pos="2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prevent or preclude Parent and Merger Sub from delivering the Parent Tax Representation Letter to Parent Counsel and Company Counsel in accordance with </w:t>
      </w:r>
      <w:r>
        <w:rPr>
          <w:rFonts w:ascii="Arial" w:cs="Arial" w:eastAsia="Arial" w:hAnsi="Arial"/>
          <w:sz w:val="18"/>
          <w:szCs w:val="18"/>
          <w:u w:val="single" w:color="auto"/>
          <w:color w:val="auto"/>
        </w:rPr>
        <w:t>Section 6.14(b).</w:t>
      </w:r>
    </w:p>
    <w:p>
      <w:pPr>
        <w:spacing w:after="0" w:line="185"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No Other Representations</w:t>
      </w:r>
      <w:r>
        <w:rPr>
          <w:rFonts w:ascii="Arial" w:cs="Arial" w:eastAsia="Arial" w:hAnsi="Arial"/>
          <w:sz w:val="16"/>
          <w:szCs w:val="16"/>
          <w:color w:val="auto"/>
        </w:rPr>
        <w:t xml:space="preserve">. Except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each of Parent and Merger Sub acknowledges that none of the Company, any of its Representatives or any other Person makes, and each of Parent and Merger Sub acknowledges that it has not relied upon or otherwise been induced by, any express or implied representation or warranty with respect to the Company or any Company Subsidiary or with respect to any other information provided or made available to Parent, Merger Sub or their respective Representatives in connection with the Transactions, including any information, documents, projections, forecasts or other material made available to Parent, Merger Sub or their respective Representatives in certain “data rooms” or management presentations in expectation of the Transactions, or the accuracy or completeness of any of the foregoing, except, in each case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Without limiting the generality of the foregoing, each of Parent and Merger Sub acknowledges that, except as may be expressly provided in </w:t>
      </w:r>
      <w:r>
        <w:rPr>
          <w:rFonts w:ascii="Arial" w:cs="Arial" w:eastAsia="Arial" w:hAnsi="Arial"/>
          <w:sz w:val="16"/>
          <w:szCs w:val="16"/>
          <w:u w:val="single" w:color="auto"/>
          <w:color w:val="auto"/>
        </w:rPr>
        <w:t>Article III</w:t>
      </w:r>
      <w:r>
        <w:rPr>
          <w:rFonts w:ascii="Arial" w:cs="Arial" w:eastAsia="Arial" w:hAnsi="Arial"/>
          <w:sz w:val="16"/>
          <w:szCs w:val="16"/>
          <w:color w:val="auto"/>
        </w:rPr>
        <w:t>, no representations or warranties are made with respect to any projections, forecasts, estimates, budgets or prospective information that may have been made available, directly or indirectly, to Parent, Merger Sub, any of their respective Representatives or any other Person.</w:t>
      </w:r>
    </w:p>
    <w:p>
      <w:pPr>
        <w:spacing w:after="0" w:line="38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COVENANTS RELATING TO CONDUCT OF BUSINESS</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PENDING THE MERGER</w:t>
      </w:r>
    </w:p>
    <w:p>
      <w:pPr>
        <w:spacing w:after="0" w:line="211"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xml:space="preserve">. The Company agrees that between the date hereof and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Company Disclosure Letter, as specifically permitted or required by this Agreement, as required by applicable Law or as consented to in writing by Parent (with respect to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(with respect to the organizational documents of any Company Subsidiary only),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6"/>
          <w:szCs w:val="16"/>
          <w:u w:val="single" w:color="auto"/>
          <w:color w:val="auto"/>
        </w:rPr>
        <w:t>(xi)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(xvii)</w:t>
      </w:r>
      <w:r>
        <w:rPr>
          <w:rFonts w:ascii="Arial" w:cs="Arial" w:eastAsia="Arial" w:hAnsi="Arial"/>
          <w:sz w:val="16"/>
          <w:szCs w:val="16"/>
          <w:color w:val="auto"/>
        </w:rPr>
        <w:t>, (</w:t>
      </w:r>
      <w:r>
        <w:rPr>
          <w:rFonts w:ascii="Arial" w:cs="Arial" w:eastAsia="Arial" w:hAnsi="Arial"/>
          <w:sz w:val="16"/>
          <w:szCs w:val="16"/>
          <w:u w:val="single" w:color="auto"/>
          <w:color w:val="auto"/>
        </w:rPr>
        <w:t>xxi</w:t>
      </w:r>
      <w:r>
        <w:rPr>
          <w:rFonts w:ascii="Arial" w:cs="Arial" w:eastAsia="Arial" w:hAnsi="Arial"/>
          <w:sz w:val="16"/>
          <w:szCs w:val="16"/>
          <w:color w:val="auto"/>
        </w:rPr>
        <w:t>)</w:t>
      </w:r>
      <w:r>
        <w:rPr>
          <w:rFonts w:ascii="Arial" w:cs="Arial" w:eastAsia="Arial" w:hAnsi="Arial"/>
          <w:sz w:val="16"/>
          <w:szCs w:val="16"/>
          <w:u w:val="single" w:color="auto"/>
          <w:color w:val="auto"/>
        </w:rPr>
        <w:t>(xxii)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with respect to any of the foregoing of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only, such consent not to be unreasonably withheld, conditioned or delayed), the Company (a) shall and shall cause each Company Subsidiary to, use reasonable best efforts to conduct its business in all material respects in the ordinary course of business consistent with past practice, including by (1) preserving intact its and their present business organizations, goodwill and ongoing businesses, (2) keeping available the services of its and their present officers and other key employees (other than where termination of such services is for cause) and (3) preserving its and their relationships with customers, suppliers, vendors, resellers, licensors, licensees, Governmental Entities, employees and other Persons with whom it and they have material business relations (it being agreed by the Parties that with respect to the matters specifically addressed by any provision of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such specific provisions shall govern over the more general provision of this </w:t>
      </w:r>
      <w:r>
        <w:rPr>
          <w:rFonts w:ascii="Arial" w:cs="Arial" w:eastAsia="Arial" w:hAnsi="Arial"/>
          <w:sz w:val="16"/>
          <w:szCs w:val="16"/>
          <w:u w:val="single" w:color="auto"/>
          <w:color w:val="auto"/>
        </w:rPr>
        <w:t>Section 5.1</w:t>
      </w:r>
      <w:r>
        <w:rPr>
          <w:rFonts w:ascii="Arial" w:cs="Arial" w:eastAsia="Arial" w:hAnsi="Arial"/>
          <w:sz w:val="16"/>
          <w:szCs w:val="16"/>
          <w:color w:val="auto"/>
        </w:rPr>
        <w:t>(a)); and (b) shall not, nor shall the Company permit any Company Subsidiary to:</w:t>
      </w:r>
    </w:p>
    <w:p>
      <w:pPr>
        <w:spacing w:after="0" w:line="168" w:lineRule="exact"/>
        <w:rPr>
          <w:sz w:val="20"/>
          <w:szCs w:val="20"/>
          <w:color w:val="auto"/>
        </w:rPr>
      </w:pPr>
    </w:p>
    <w:p>
      <w:pPr>
        <w:ind w:left="4" w:right="700" w:firstLine="1428"/>
        <w:spacing w:after="0" w:line="277" w:lineRule="auto"/>
        <w:tabs>
          <w:tab w:leader="none" w:pos="178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the Company’s or any Company Subsidiary’s certificate of incorporation, bylaws or equivalent organizational documents;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56" w:name="page57"/>
    <w:bookmarkEnd w:id="56"/>
    <w:p>
      <w:pPr>
        <w:ind w:right="100" w:firstLine="1428"/>
        <w:spacing w:after="0" w:line="257" w:lineRule="auto"/>
        <w:tabs>
          <w:tab w:leader="none" w:pos="1832"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 declare, set aside, make or pay any dividends on or make any distribution with respect to its outstanding shares of capital stock or other equity interests (whether in cash, assets, shares or other securities of the Company or any Company Subsidiary) (other than dividends or distributions made by any wholly-owned Company Subsidiary to the Company or any other wholly-owned Company Subsidiary), or enter into any agreement and arrangement with respect to voting or registration, or file any registration statement with the SEC with respect to any, of its capital stock or other equity interests or securities;</w:t>
      </w:r>
    </w:p>
    <w:p>
      <w:pPr>
        <w:spacing w:after="0" w:line="187" w:lineRule="exact"/>
        <w:rPr>
          <w:rFonts w:ascii="Arial" w:cs="Arial" w:eastAsia="Arial" w:hAnsi="Arial"/>
          <w:sz w:val="18"/>
          <w:szCs w:val="18"/>
          <w:color w:val="auto"/>
        </w:rPr>
      </w:pPr>
    </w:p>
    <w:p>
      <w:pPr>
        <w:ind w:right="40" w:firstLine="1428"/>
        <w:spacing w:after="0" w:line="275" w:lineRule="auto"/>
        <w:tabs>
          <w:tab w:leader="none" w:pos="1882" w:val="left"/>
        </w:tabs>
        <w:numPr>
          <w:ilvl w:val="0"/>
          <w:numId w:val="74"/>
        </w:numPr>
        <w:rPr>
          <w:rFonts w:ascii="Arial" w:cs="Arial" w:eastAsia="Arial" w:hAnsi="Arial"/>
          <w:sz w:val="17"/>
          <w:szCs w:val="17"/>
          <w:color w:val="auto"/>
        </w:rPr>
      </w:pPr>
      <w:r>
        <w:rPr>
          <w:rFonts w:ascii="Arial" w:cs="Arial" w:eastAsia="Arial" w:hAnsi="Arial"/>
          <w:sz w:val="17"/>
          <w:szCs w:val="17"/>
          <w:color w:val="auto"/>
        </w:rPr>
        <w:t>split, combine, subdivide, reduce or reclassify any of its capital stock or other equity interests, or redeem, 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for withholding Taxes in respect of Company Equity Awards or (B) any such transaction involving only wholly owned Company Subsidiaries;</w:t>
      </w:r>
    </w:p>
    <w:p>
      <w:pPr>
        <w:spacing w:after="0" w:line="176" w:lineRule="exact"/>
        <w:rPr>
          <w:rFonts w:ascii="Arial" w:cs="Arial" w:eastAsia="Arial" w:hAnsi="Arial"/>
          <w:sz w:val="17"/>
          <w:szCs w:val="17"/>
          <w:color w:val="auto"/>
        </w:rPr>
      </w:pPr>
    </w:p>
    <w:p>
      <w:pPr>
        <w:ind w:firstLine="1428"/>
        <w:spacing w:after="0" w:line="287" w:lineRule="auto"/>
        <w:tabs>
          <w:tab w:leader="none" w:pos="1872" w:val="left"/>
        </w:tabs>
        <w:numPr>
          <w:ilvl w:val="0"/>
          <w:numId w:val="74"/>
        </w:numPr>
        <w:rPr>
          <w:rFonts w:ascii="Arial" w:cs="Arial" w:eastAsia="Arial" w:hAnsi="Arial"/>
          <w:sz w:val="16"/>
          <w:szCs w:val="16"/>
          <w:color w:val="auto"/>
        </w:rPr>
      </w:pPr>
      <w:r>
        <w:rPr>
          <w:rFonts w:ascii="Arial" w:cs="Arial" w:eastAsia="Arial" w:hAnsi="Arial"/>
          <w:sz w:val="16"/>
          <w:szCs w:val="16"/>
          <w:color w:val="auto"/>
        </w:rPr>
        <w:t>issue, deliver, grant, sell, pledge, dispose of or encumber, or authorize the issuance, delivery, grant, sale, pledge, disposition or encumbrance of, any shares in the capital stock, voting securities or other equity interest in the Company or any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a wholly owned Company Subsidiary or solely between wholly owned Company Subsidiaries;</w:t>
      </w:r>
    </w:p>
    <w:p>
      <w:pPr>
        <w:spacing w:after="0" w:line="167" w:lineRule="exact"/>
        <w:rPr>
          <w:rFonts w:ascii="Arial" w:cs="Arial" w:eastAsia="Arial" w:hAnsi="Arial"/>
          <w:sz w:val="16"/>
          <w:szCs w:val="16"/>
          <w:color w:val="auto"/>
        </w:rPr>
      </w:pPr>
    </w:p>
    <w:p>
      <w:pPr>
        <w:ind w:right="280" w:firstLine="1428"/>
        <w:spacing w:after="0" w:line="275" w:lineRule="auto"/>
        <w:tabs>
          <w:tab w:leader="none" w:pos="1822"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except as required by any Company Benefit Plan as in existence as of the date hereof and set forth on </w:t>
      </w:r>
      <w:r>
        <w:rPr>
          <w:rFonts w:ascii="Arial" w:cs="Arial" w:eastAsia="Arial" w:hAnsi="Arial"/>
          <w:sz w:val="17"/>
          <w:szCs w:val="17"/>
          <w:u w:val="single" w:color="auto"/>
          <w:color w:val="auto"/>
        </w:rPr>
        <w:t>Section 3.10(a)</w:t>
      </w:r>
      <w:r>
        <w:rPr>
          <w:rFonts w:ascii="Arial" w:cs="Arial" w:eastAsia="Arial" w:hAnsi="Arial"/>
          <w:sz w:val="17"/>
          <w:szCs w:val="17"/>
          <w:color w:val="auto"/>
        </w:rPr>
        <w:t xml:space="preserve"> of the Company Disclosure Letter, (A) increase the compensation or benefits payable or to become payable to any of its directors, executive officers, employees or independent contractors,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7" w:name="page58"/>
    <w:bookmarkEnd w:id="57"/>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independent contractors, (D) enter into any employment, severance, or retention agreement (excluding offer letters entered into with new hires permitted pursuant to clause (H) below in the ordinary course of business consistent with past practice that provide for no severance or change in control benefits) with any of its directors, executive officers, employees or independent contractors, (E) establish, adopt, enter into, amend or terminate any collective bargaining agreement or Company Benefit Plan except for any amendments to health and welfare plans in the ordinary course of business consistent with past practice that do not contravene the other covenants set forth in this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or increase the cost to the Company of maintaining such Company Benefit Plan or the benefits provided thereunder, (F) take any action to amend or waive any performance or vesting criteria or accelerate vesting, exercisability or funding under any Company Benefit Plan, (G) terminate the employment of any employee at the level of vice president or above, other than for cause, (H) hire any new employees, except as listed on </w:t>
      </w:r>
      <w:r>
        <w:rPr>
          <w:rFonts w:ascii="Arial" w:cs="Arial" w:eastAsia="Arial" w:hAnsi="Arial"/>
          <w:sz w:val="17"/>
          <w:szCs w:val="17"/>
          <w:u w:val="single" w:color="auto"/>
          <w:color w:val="auto"/>
        </w:rPr>
        <w:t>Section 5.1(b)(v)</w:t>
      </w:r>
      <w:r>
        <w:rPr>
          <w:rFonts w:ascii="Arial" w:cs="Arial" w:eastAsia="Arial" w:hAnsi="Arial"/>
          <w:sz w:val="17"/>
          <w:szCs w:val="17"/>
          <w:color w:val="auto"/>
        </w:rPr>
        <w:t xml:space="preserve"> of the Company Disclosure Letter or (I) provide any funding for any rabbi trust or similar arrangement;</w:t>
      </w:r>
    </w:p>
    <w:p>
      <w:pPr>
        <w:spacing w:after="0" w:line="181" w:lineRule="exact"/>
        <w:rPr>
          <w:sz w:val="20"/>
          <w:szCs w:val="20"/>
          <w:color w:val="auto"/>
        </w:rPr>
      </w:pPr>
    </w:p>
    <w:p>
      <w:pPr>
        <w:ind w:left="4" w:right="60" w:firstLine="1428"/>
        <w:spacing w:after="0" w:line="257" w:lineRule="auto"/>
        <w:tabs>
          <w:tab w:leader="none" w:pos="1876" w:val="left"/>
        </w:tabs>
        <w:numPr>
          <w:ilvl w:val="1"/>
          <w:numId w:val="75"/>
        </w:numPr>
        <w:rPr>
          <w:rFonts w:ascii="Arial" w:cs="Arial" w:eastAsia="Arial" w:hAnsi="Arial"/>
          <w:sz w:val="18"/>
          <w:szCs w:val="18"/>
          <w:color w:val="auto"/>
        </w:rPr>
      </w:pPr>
      <w:r>
        <w:rPr>
          <w:rFonts w:ascii="Arial" w:cs="Arial" w:eastAsia="Arial" w:hAnsi="Arial"/>
          <w:sz w:val="18"/>
          <w:szCs w:val="18"/>
          <w:color w:val="auto"/>
        </w:rPr>
        <w:t>acquire (including by merger, consolidation or acquisition of stock or assets or any other means) or publicly announce an intention to so acquire, or enter into any agreements providing for any acquisitions of, any equity interests in or assets of any Person or any business or division thereof, or otherwise engage in any mergers, consolidations or business combinations, except for (A) transactions solely between the Company and a wholly owned Company Subsidiary or solely between wholly owned Company Subsidiaries or (B) acquisitions of supplies or equipment in the ordinary course of business consistent with past practice;</w:t>
      </w:r>
    </w:p>
    <w:p>
      <w:pPr>
        <w:spacing w:after="0" w:line="187" w:lineRule="exact"/>
        <w:rPr>
          <w:rFonts w:ascii="Arial" w:cs="Arial" w:eastAsia="Arial" w:hAnsi="Arial"/>
          <w:sz w:val="18"/>
          <w:szCs w:val="18"/>
          <w:color w:val="auto"/>
        </w:rPr>
      </w:pPr>
    </w:p>
    <w:p>
      <w:pPr>
        <w:ind w:left="4" w:right="220" w:firstLine="1428"/>
        <w:spacing w:after="0" w:line="263" w:lineRule="auto"/>
        <w:tabs>
          <w:tab w:leader="none" w:pos="1926" w:val="left"/>
        </w:tabs>
        <w:numPr>
          <w:ilvl w:val="1"/>
          <w:numId w:val="75"/>
        </w:numPr>
        <w:rPr>
          <w:rFonts w:ascii="Arial" w:cs="Arial" w:eastAsia="Arial" w:hAnsi="Arial"/>
          <w:sz w:val="18"/>
          <w:szCs w:val="18"/>
          <w:color w:val="auto"/>
        </w:rPr>
      </w:pPr>
      <w:r>
        <w:rPr>
          <w:rFonts w:ascii="Arial" w:cs="Arial" w:eastAsia="Arial" w:hAnsi="Arial"/>
          <w:sz w:val="18"/>
          <w:szCs w:val="18"/>
          <w:color w:val="auto"/>
        </w:rPr>
        <w:t>liquidate (completely or partially), dissolve, restructure, recapitalize or effect any other reorganization (including any restructuring, recapitalization or reorganization between or among any of the Company or the Company Subsidiaries), or adopt any plan or resolution providing for any of the foregoing;</w:t>
      </w:r>
    </w:p>
    <w:p>
      <w:pPr>
        <w:spacing w:after="0" w:line="183" w:lineRule="exact"/>
        <w:rPr>
          <w:rFonts w:ascii="Arial" w:cs="Arial" w:eastAsia="Arial" w:hAnsi="Arial"/>
          <w:sz w:val="18"/>
          <w:szCs w:val="18"/>
          <w:color w:val="auto"/>
        </w:rPr>
      </w:pPr>
    </w:p>
    <w:p>
      <w:pPr>
        <w:ind w:left="4" w:right="80" w:firstLine="1428"/>
        <w:spacing w:after="0" w:line="263" w:lineRule="auto"/>
        <w:tabs>
          <w:tab w:leader="none" w:pos="1976" w:val="left"/>
        </w:tabs>
        <w:numPr>
          <w:ilvl w:val="1"/>
          <w:numId w:val="75"/>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other Person, except for (A) loans solely among the Company and its wholly owned Company Subsidiaries or solely among the Company’s wholly owned Company Subsidiaries or (B) advances for reimbursable employee expenses in the ordinary course of business consistent with past practice;</w:t>
      </w:r>
    </w:p>
    <w:p>
      <w:pPr>
        <w:spacing w:after="0" w:line="183" w:lineRule="exact"/>
        <w:rPr>
          <w:rFonts w:ascii="Arial" w:cs="Arial" w:eastAsia="Arial" w:hAnsi="Arial"/>
          <w:sz w:val="18"/>
          <w:szCs w:val="18"/>
          <w:color w:val="auto"/>
        </w:rPr>
      </w:pPr>
    </w:p>
    <w:p>
      <w:pPr>
        <w:ind w:left="4" w:right="180" w:firstLine="1428"/>
        <w:spacing w:after="0" w:line="287" w:lineRule="auto"/>
        <w:tabs>
          <w:tab w:leader="none" w:pos="1876" w:val="left"/>
        </w:tabs>
        <w:numPr>
          <w:ilvl w:val="1"/>
          <w:numId w:val="75"/>
        </w:numPr>
        <w:rPr>
          <w:rFonts w:ascii="Arial" w:cs="Arial" w:eastAsia="Arial" w:hAnsi="Arial"/>
          <w:sz w:val="16"/>
          <w:szCs w:val="16"/>
          <w:color w:val="auto"/>
        </w:rPr>
      </w:pPr>
      <w:r>
        <w:rPr>
          <w:rFonts w:ascii="Arial" w:cs="Arial" w:eastAsia="Arial" w:hAnsi="Arial"/>
          <w:sz w:val="16"/>
          <w:szCs w:val="16"/>
          <w:color w:val="auto"/>
        </w:rPr>
        <w:t>sell, lease, license, assign, abandon, permit to lapse, transfer, exchange, swap or otherwise dispose of, or subject to any Lien (other than Permitted Liens), any of its material properties, rights or assets (including shares in the capital of the Company or the Company Subsidiaries), except (A) dispositions of obsolete or worthless equipment, in the ordinary course of business consistent with past practice,</w:t>
      </w:r>
    </w:p>
    <w:p>
      <w:pPr>
        <w:spacing w:after="0" w:line="2" w:lineRule="exact"/>
        <w:rPr>
          <w:rFonts w:ascii="Arial" w:cs="Arial" w:eastAsia="Arial" w:hAnsi="Arial"/>
          <w:sz w:val="16"/>
          <w:szCs w:val="16"/>
          <w:color w:val="auto"/>
        </w:rPr>
      </w:pPr>
    </w:p>
    <w:p>
      <w:pPr>
        <w:ind w:left="4" w:right="100" w:hanging="4"/>
        <w:spacing w:after="0" w:line="255" w:lineRule="auto"/>
        <w:tabs>
          <w:tab w:leader="none" w:pos="289"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nonexclusive licenses of Company Intellectual Property entered into in the ordinary course of business consistent with past practice with customers or resellers of the Company or the Company Subsidiaries and (C) pursuant to transactions solely among the Company and its wholly owned Company Subsidiaries or solely among wholly owned Company Subsidiaries;</w:t>
      </w:r>
    </w:p>
    <w:p>
      <w:pPr>
        <w:spacing w:after="0" w:line="189" w:lineRule="exact"/>
        <w:rPr>
          <w:rFonts w:ascii="Arial" w:cs="Arial" w:eastAsia="Arial" w:hAnsi="Arial"/>
          <w:sz w:val="18"/>
          <w:szCs w:val="18"/>
          <w:color w:val="auto"/>
        </w:rPr>
      </w:pPr>
    </w:p>
    <w:p>
      <w:pPr>
        <w:ind w:left="4" w:right="520" w:firstLine="1428"/>
        <w:spacing w:after="0" w:line="277" w:lineRule="auto"/>
        <w:tabs>
          <w:tab w:leader="none" w:pos="1826" w:val="left"/>
        </w:tabs>
        <w:numPr>
          <w:ilvl w:val="1"/>
          <w:numId w:val="76"/>
        </w:numPr>
        <w:rPr>
          <w:rFonts w:ascii="Arial" w:cs="Arial" w:eastAsia="Arial" w:hAnsi="Arial"/>
          <w:sz w:val="18"/>
          <w:szCs w:val="18"/>
          <w:color w:val="auto"/>
        </w:rPr>
      </w:pPr>
      <w:r>
        <w:rPr>
          <w:rFonts w:ascii="Arial" w:cs="Arial" w:eastAsia="Arial" w:hAnsi="Arial"/>
          <w:sz w:val="18"/>
          <w:szCs w:val="18"/>
          <w:color w:val="auto"/>
        </w:rPr>
        <w:t>terminate or materially amend or modify any written policies or procedures with respect to the use or distribution by the Company or any Company Subsidiary of any open source Software;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4"/>
          </w:cols>
          <w:pgMar w:left="436" w:top="274" w:right="479" w:bottom="1440" w:gutter="0" w:footer="0" w:header="0"/>
        </w:sectPr>
      </w:pPr>
    </w:p>
    <w:bookmarkStart w:id="58" w:name="page59"/>
    <w:bookmarkEnd w:id="58"/>
    <w:p>
      <w:pPr>
        <w:ind w:right="100" w:firstLine="1428"/>
        <w:spacing w:after="0" w:line="254" w:lineRule="auto"/>
        <w:tabs>
          <w:tab w:leader="none" w:pos="1872"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or become bound by, or amend, modify, terminate or waive any Contract related to the acquisition or disposition or granting of any license with respect to material Intellectual Property, other than amendments, modifications, terminations or waivers in the ordinary course of business consistent with past practice, or otherwise encumber any material Intellectual Property (including by the granting of any covenants, including any covenant not to sue or covenant not to assert), other than (A) non-exclusive licenses of Company Intellectual Property entered in the ordinary course of business consistent with past practice with customers or resellers of the Company or the Company Subsidiaries and (B) amendments and modifications, in each case, to existing exclusive, limited distribution rights for Company Products made or entered into in the ordinary course of business consistent with past practice;</w:t>
      </w:r>
    </w:p>
    <w:p>
      <w:pPr>
        <w:spacing w:after="0" w:line="194" w:lineRule="exact"/>
        <w:rPr>
          <w:rFonts w:ascii="Arial" w:cs="Arial" w:eastAsia="Arial" w:hAnsi="Arial"/>
          <w:sz w:val="18"/>
          <w:szCs w:val="18"/>
          <w:color w:val="auto"/>
        </w:rPr>
      </w:pPr>
    </w:p>
    <w:p>
      <w:pPr>
        <w:ind w:firstLine="1428"/>
        <w:spacing w:after="0" w:line="271" w:lineRule="auto"/>
        <w:tabs>
          <w:tab w:leader="none" w:pos="1922"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(A) enter into any Contract that would, if entered into prior to the date hereof, be a Material Contract of the types referred to in clause (i), (ii), (iii), (iv), (v), (viii), (ix), (x) with respect to Contracts pursuant to which the Company or any Company Subsidiary is obligated to make payments, (xi), (xii) with respect to Contracts with Material Suppliers, (xiii), (xiv), (xvi), (xvii), (xviii), (xix) if outside of the ordinary course of business consistent with past practice, or (xx) of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(B) (1) materially modify, materially amend, extend or terminate any Material Contract (other than non-renewals occurring in the ordinary course of business) or (2) waive, release or assign any material rights or claims thereunder, in the case of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other than in the ordinary course of business consistent with past practice or (C) modify, amend or terminate, or waive or release or assign any material rights under any Material Government Bid or submit any new Government Contract Bid that would have been considered a Material Government Bid if it were submitted prior to the date hereof;</w:t>
      </w:r>
    </w:p>
    <w:p>
      <w:pPr>
        <w:spacing w:after="0" w:line="178" w:lineRule="exact"/>
        <w:rPr>
          <w:rFonts w:ascii="Arial" w:cs="Arial" w:eastAsia="Arial" w:hAnsi="Arial"/>
          <w:sz w:val="17"/>
          <w:szCs w:val="17"/>
          <w:color w:val="auto"/>
        </w:rPr>
      </w:pPr>
    </w:p>
    <w:p>
      <w:pPr>
        <w:ind w:right="380" w:firstLine="1428"/>
        <w:spacing w:after="0" w:line="342" w:lineRule="auto"/>
        <w:tabs>
          <w:tab w:leader="none" w:pos="1972"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in accordance with the Company’s capital budget provided to Parent prior to the date hereof, make any capital expenditure or expenditures, enter into agreements or arrangements providing for capital expenditure or expenditures or otherwise commit to do so;</w:t>
      </w:r>
    </w:p>
    <w:p>
      <w:pPr>
        <w:spacing w:after="0" w:line="123" w:lineRule="exact"/>
        <w:rPr>
          <w:rFonts w:ascii="Arial" w:cs="Arial" w:eastAsia="Arial" w:hAnsi="Arial"/>
          <w:sz w:val="16"/>
          <w:szCs w:val="16"/>
          <w:color w:val="auto"/>
        </w:rPr>
      </w:pPr>
    </w:p>
    <w:p>
      <w:pPr>
        <w:ind w:firstLine="1428"/>
        <w:spacing w:after="0" w:line="289" w:lineRule="auto"/>
        <w:tabs>
          <w:tab w:leader="none" w:pos="19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commence (other than any collection action in the ordinary course of business consistent with past practice), waive, release, assign, compromise or settle any claim, litigation, investigation or other Proceeding (for the avoidance of doubt, including with respect to matters in which the Company or any Company Subsidiary is a plaintiff, or in which any of their officers or directors in their capacities as such are parties), other than the compromise or settlement of any claim, litigation or other Proceeding that is not brought by Governmental Entities and that: (A) is for an amount not to exceed, for any such compromise or settlement individually, $1,000,000, or in the aggregate, $2,000,000, (B) does not impose any injunctive relief on the Company and the Company Subsidiaries and does not involve the admission of wrongdoing by the Company, any Company Subsidiary or any of their respective officers or directors or otherwise establish a materially adverse precedent for similar settlements by Parent or any Parent Subsidiaries (including following the Effective Time the Company and the Company Subsidiaries) and (C) does not provide for the license of any Intellectual Property or the termination, modification or amendment of any license of Company Intellectual Property;</w:t>
      </w:r>
    </w:p>
    <w:p>
      <w:pPr>
        <w:spacing w:after="0" w:line="166" w:lineRule="exact"/>
        <w:rPr>
          <w:rFonts w:ascii="Arial" w:cs="Arial" w:eastAsia="Arial" w:hAnsi="Arial"/>
          <w:sz w:val="16"/>
          <w:szCs w:val="16"/>
          <w:color w:val="auto"/>
        </w:rPr>
      </w:pPr>
    </w:p>
    <w:p>
      <w:pPr>
        <w:ind w:right="520" w:firstLine="1428"/>
        <w:spacing w:after="0" w:line="308" w:lineRule="auto"/>
        <w:tabs>
          <w:tab w:leader="none" w:pos="1912" w:val="left"/>
        </w:tabs>
        <w:numPr>
          <w:ilvl w:val="0"/>
          <w:numId w:val="77"/>
        </w:numPr>
        <w:rPr>
          <w:rFonts w:ascii="Arial" w:cs="Arial" w:eastAsia="Arial" w:hAnsi="Arial"/>
          <w:sz w:val="17"/>
          <w:szCs w:val="17"/>
          <w:color w:val="auto"/>
        </w:rPr>
      </w:pPr>
      <w:r>
        <w:rPr>
          <w:rFonts w:ascii="Arial" w:cs="Arial" w:eastAsia="Arial" w:hAnsi="Arial"/>
          <w:sz w:val="17"/>
          <w:szCs w:val="17"/>
          <w:color w:val="auto"/>
        </w:rPr>
        <w:t>make any change in financial accounting policies, practices, principles or procedures or any of its methods of reporting income, deductions or other material items for financial accounting purposes, except as required by GAAP or applicable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9" w:name="page60"/>
    <w:bookmarkEnd w:id="59"/>
    <w:p>
      <w:pPr>
        <w:ind w:left="4" w:right="40" w:firstLine="1428"/>
        <w:spacing w:after="0" w:line="277" w:lineRule="auto"/>
        <w:tabs>
          <w:tab w:leader="none" w:pos="1966" w:val="left"/>
        </w:tabs>
        <w:numPr>
          <w:ilvl w:val="1"/>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or modify in any material respect any Privacy Statement of the Company or any Company Subsidiary (other than any amendment or modification reasonably necessary or advisable to comply with applicable Law);</w:t>
      </w:r>
    </w:p>
    <w:p>
      <w:pPr>
        <w:spacing w:after="0" w:line="170" w:lineRule="exact"/>
        <w:rPr>
          <w:rFonts w:ascii="Arial" w:cs="Arial" w:eastAsia="Arial" w:hAnsi="Arial"/>
          <w:sz w:val="18"/>
          <w:szCs w:val="18"/>
          <w:color w:val="auto"/>
        </w:rPr>
      </w:pPr>
    </w:p>
    <w:p>
      <w:pPr>
        <w:ind w:left="4" w:firstLine="1428"/>
        <w:spacing w:after="0" w:line="293" w:lineRule="auto"/>
        <w:tabs>
          <w:tab w:leader="none" w:pos="2016" w:val="left"/>
        </w:tabs>
        <w:numPr>
          <w:ilvl w:val="1"/>
          <w:numId w:val="78"/>
        </w:numPr>
        <w:rPr>
          <w:rFonts w:ascii="Arial" w:cs="Arial" w:eastAsia="Arial" w:hAnsi="Arial"/>
          <w:sz w:val="16"/>
          <w:szCs w:val="16"/>
          <w:color w:val="auto"/>
        </w:rPr>
      </w:pPr>
      <w:r>
        <w:rPr>
          <w:rFonts w:ascii="Arial" w:cs="Arial" w:eastAsia="Arial" w:hAnsi="Arial"/>
          <w:sz w:val="16"/>
          <w:szCs w:val="16"/>
          <w:color w:val="auto"/>
        </w:rPr>
        <w:t>make, change or revoke any material Tax election, adopt or change any Tax accounting period or material method of Tax accounting, amend any material Tax Return, file any U.S. federal, state or foreign income Tax Return or any other material Tax Return that is materially inconsistent with a previously filed Tax Return of the same type for a prior taxable period (taking into account any amendments prior to the date hereof), settle or compromise any material liability for Taxes or any Tax audit, claim or other proceeding relating to a material amount of Taxes, enter into any “closing agreement” within the meaning of Section 7121 of the Code (or any similar provision of state, local or non-U.S. Law), surrender any right to claim a material refund of Taxes, or agree to an extension or waiver of the statute of limitations with respect to a material amount of Taxes;</w:t>
      </w:r>
    </w:p>
    <w:p>
      <w:pPr>
        <w:spacing w:after="0" w:line="164" w:lineRule="exact"/>
        <w:rPr>
          <w:rFonts w:ascii="Arial" w:cs="Arial" w:eastAsia="Arial" w:hAnsi="Arial"/>
          <w:sz w:val="16"/>
          <w:szCs w:val="16"/>
          <w:color w:val="auto"/>
        </w:rPr>
      </w:pPr>
    </w:p>
    <w:p>
      <w:pPr>
        <w:ind w:left="4" w:right="100" w:firstLine="1428"/>
        <w:spacing w:after="0" w:line="257" w:lineRule="auto"/>
        <w:tabs>
          <w:tab w:leader="none" w:pos="20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redeem, repurchase, prepay, defease, incur, assume, endorse, guarantee or otherwise become liable for or modify in any material respects the terms of any Indebtedness or any derivative financial instruments or arrangements (including swaps, caps, floors, futures, forward contracts and option agreements), or issue or sell any debt securities or calls, options, warrants or other rights to acquire any debt securities (directly, contingently or otherwise), except for any Indebtedness solely among the Company and its wholly owned Company Subsidiaries or solely among wholly owned Company Subsidiaries;</w:t>
      </w:r>
    </w:p>
    <w:p>
      <w:pPr>
        <w:spacing w:after="0" w:line="187" w:lineRule="exact"/>
        <w:rPr>
          <w:rFonts w:ascii="Arial" w:cs="Arial" w:eastAsia="Arial" w:hAnsi="Arial"/>
          <w:sz w:val="18"/>
          <w:szCs w:val="18"/>
          <w:color w:val="auto"/>
        </w:rPr>
      </w:pPr>
    </w:p>
    <w:p>
      <w:pPr>
        <w:ind w:left="4" w:right="520" w:firstLine="1428"/>
        <w:spacing w:after="0" w:line="277" w:lineRule="auto"/>
        <w:tabs>
          <w:tab w:leader="none" w:pos="19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enter into any transactions or Contracts with any affiliate or other Person that would be required to be disclosed by the Company under Item 404 of Regulation S-K of the SEC;</w:t>
      </w:r>
    </w:p>
    <w:p>
      <w:pPr>
        <w:spacing w:after="0" w:line="170" w:lineRule="exact"/>
        <w:rPr>
          <w:rFonts w:ascii="Arial" w:cs="Arial" w:eastAsia="Arial" w:hAnsi="Arial"/>
          <w:sz w:val="18"/>
          <w:szCs w:val="18"/>
          <w:color w:val="auto"/>
        </w:rPr>
      </w:pPr>
    </w:p>
    <w:p>
      <w:pPr>
        <w:ind w:left="4" w:right="60" w:firstLine="1428"/>
        <w:spacing w:after="0" w:line="277" w:lineRule="auto"/>
        <w:tabs>
          <w:tab w:leader="none" w:pos="1916" w:val="left"/>
        </w:tabs>
        <w:numPr>
          <w:ilvl w:val="1"/>
          <w:numId w:val="78"/>
        </w:numPr>
        <w:rPr>
          <w:rFonts w:ascii="Arial" w:cs="Arial" w:eastAsia="Arial" w:hAnsi="Arial"/>
          <w:sz w:val="18"/>
          <w:szCs w:val="18"/>
          <w:color w:val="auto"/>
        </w:rPr>
      </w:pPr>
      <w:r>
        <w:rPr>
          <w:rFonts w:ascii="Arial" w:cs="Arial" w:eastAsia="Arial" w:hAnsi="Arial"/>
          <w:sz w:val="18"/>
          <w:szCs w:val="18"/>
          <w:color w:val="auto"/>
        </w:rPr>
        <w:t>fail to use commercially reasonable efforts to maintain the Company’s insurance policies or comparable replacement policies with respect to the material assets, operations and activities of the Company and the Company Subsidiaries;</w:t>
      </w:r>
    </w:p>
    <w:p>
      <w:pPr>
        <w:spacing w:after="0" w:line="170" w:lineRule="exact"/>
        <w:rPr>
          <w:rFonts w:ascii="Arial" w:cs="Arial" w:eastAsia="Arial" w:hAnsi="Arial"/>
          <w:sz w:val="18"/>
          <w:szCs w:val="18"/>
          <w:color w:val="auto"/>
        </w:rPr>
      </w:pPr>
    </w:p>
    <w:p>
      <w:pPr>
        <w:ind w:left="4" w:right="60" w:firstLine="1428"/>
        <w:spacing w:after="0" w:line="286" w:lineRule="auto"/>
        <w:tabs>
          <w:tab w:leader="none" w:pos="1966" w:val="left"/>
        </w:tabs>
        <w:numPr>
          <w:ilvl w:val="1"/>
          <w:numId w:val="78"/>
        </w:numPr>
        <w:rPr>
          <w:rFonts w:ascii="Arial" w:cs="Arial" w:eastAsia="Arial" w:hAnsi="Arial"/>
          <w:sz w:val="16"/>
          <w:szCs w:val="16"/>
          <w:color w:val="auto"/>
        </w:rPr>
      </w:pPr>
      <w:r>
        <w:rPr>
          <w:rFonts w:ascii="Arial" w:cs="Arial" w:eastAsia="Arial" w:hAnsi="Arial"/>
          <w:sz w:val="16"/>
          <w:szCs w:val="16"/>
          <w:color w:val="auto"/>
        </w:rPr>
        <w:t>(A) acquire any real property or enter into any lease or sublease of real property (whether as a lessor, sublessor, lessee or sublessee), (B) materially modify or amend or exercise any right to renew any Company Lease or other lease or sublease of real property, or waive any material term or condition thereof or grant any material consents thereunder, (C) grant or otherwise knowingly create or consent to the creation of any material easement, covenant, restriction, assessment or charge affecting any real property leased by the Company, or any interest therein or part thereof,</w:t>
      </w:r>
    </w:p>
    <w:p>
      <w:pPr>
        <w:spacing w:after="0" w:line="1" w:lineRule="exact"/>
        <w:rPr>
          <w:rFonts w:ascii="Arial" w:cs="Arial" w:eastAsia="Arial" w:hAnsi="Arial"/>
          <w:sz w:val="16"/>
          <w:szCs w:val="16"/>
          <w:color w:val="auto"/>
        </w:rPr>
      </w:pPr>
    </w:p>
    <w:p>
      <w:pPr>
        <w:ind w:left="4" w:right="500" w:hanging="4"/>
        <w:spacing w:after="0" w:line="290" w:lineRule="auto"/>
        <w:tabs>
          <w:tab w:leader="none" w:pos="299"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knowingly commit any waste or nuisance on any such property or (E) make any material changes in the construction or condition of any such property, in the case of each of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other than in the ordinary course of business consistent with past practice;</w:t>
      </w:r>
    </w:p>
    <w:p>
      <w:pPr>
        <w:spacing w:after="0" w:line="161" w:lineRule="exact"/>
        <w:rPr>
          <w:rFonts w:ascii="Arial" w:cs="Arial" w:eastAsia="Arial" w:hAnsi="Arial"/>
          <w:sz w:val="17"/>
          <w:szCs w:val="17"/>
          <w:color w:val="auto"/>
        </w:rPr>
      </w:pPr>
    </w:p>
    <w:p>
      <w:pPr>
        <w:ind w:left="4" w:right="60" w:firstLine="1428"/>
        <w:spacing w:after="0" w:line="277" w:lineRule="auto"/>
        <w:tabs>
          <w:tab w:leader="none" w:pos="2016" w:val="left"/>
        </w:tabs>
        <w:numPr>
          <w:ilvl w:val="1"/>
          <w:numId w:val="79"/>
        </w:numPr>
        <w:rPr>
          <w:rFonts w:ascii="Arial" w:cs="Arial" w:eastAsia="Arial" w:hAnsi="Arial"/>
          <w:sz w:val="18"/>
          <w:szCs w:val="18"/>
          <w:color w:val="auto"/>
        </w:rPr>
      </w:pPr>
      <w:r>
        <w:rPr>
          <w:rFonts w:ascii="Arial" w:cs="Arial" w:eastAsia="Arial" w:hAnsi="Arial"/>
          <w:sz w:val="18"/>
          <w:szCs w:val="18"/>
          <w:color w:val="auto"/>
        </w:rPr>
        <w:t>other than the Company Stockholders Meeting, convene any special meeting (or any adjournment or postponement thereof) of the Company Stockholders;</w:t>
      </w:r>
    </w:p>
    <w:p>
      <w:pPr>
        <w:spacing w:after="0" w:line="170" w:lineRule="exact"/>
        <w:rPr>
          <w:rFonts w:ascii="Arial" w:cs="Arial" w:eastAsia="Arial" w:hAnsi="Arial"/>
          <w:sz w:val="18"/>
          <w:szCs w:val="18"/>
          <w:color w:val="auto"/>
        </w:rPr>
      </w:pPr>
    </w:p>
    <w:p>
      <w:pPr>
        <w:ind w:left="2064" w:hanging="632"/>
        <w:spacing w:after="0"/>
        <w:tabs>
          <w:tab w:leader="none" w:pos="206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terminate or modify or waive in any material respect any right under any Company Permit;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4"/>
          </w:cols>
          <w:pgMar w:left="436" w:top="274" w:right="479" w:bottom="1440" w:gutter="0" w:footer="0" w:header="0"/>
        </w:sectPr>
      </w:pPr>
    </w:p>
    <w:bookmarkStart w:id="60" w:name="page61"/>
    <w:bookmarkEnd w:id="60"/>
    <w:p>
      <w:pPr>
        <w:ind w:left="2100" w:hanging="672"/>
        <w:spacing w:after="0"/>
        <w:tabs>
          <w:tab w:leader="none" w:pos="2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adopt or otherwise implement any stockholder rights plan, “poison-pill” or other comparable agreement;</w:t>
      </w:r>
    </w:p>
    <w:p>
      <w:pPr>
        <w:spacing w:after="0" w:line="225" w:lineRule="exact"/>
        <w:rPr>
          <w:rFonts w:ascii="Arial" w:cs="Arial" w:eastAsia="Arial" w:hAnsi="Arial"/>
          <w:sz w:val="18"/>
          <w:szCs w:val="18"/>
          <w:color w:val="auto"/>
        </w:rPr>
      </w:pPr>
    </w:p>
    <w:p>
      <w:pPr>
        <w:ind w:right="40" w:firstLine="1428"/>
        <w:spacing w:after="0" w:line="277" w:lineRule="auto"/>
        <w:tabs>
          <w:tab w:leader="none" w:pos="2002"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6.2</w:t>
      </w:r>
      <w:r>
        <w:rPr>
          <w:rFonts w:ascii="Arial" w:cs="Arial" w:eastAsia="Arial" w:hAnsi="Arial"/>
          <w:sz w:val="18"/>
          <w:szCs w:val="18"/>
          <w:color w:val="auto"/>
        </w:rPr>
        <w:t>, take or cause to be taken any action that would reasonably be expected to materially delay, materially impede or prevent the consummation of the Transactions on or before the Outside Date;</w:t>
      </w:r>
    </w:p>
    <w:p>
      <w:pPr>
        <w:spacing w:after="0" w:line="170" w:lineRule="exact"/>
        <w:rPr>
          <w:rFonts w:ascii="Arial" w:cs="Arial" w:eastAsia="Arial" w:hAnsi="Arial"/>
          <w:sz w:val="18"/>
          <w:szCs w:val="18"/>
          <w:color w:val="auto"/>
        </w:rPr>
      </w:pPr>
    </w:p>
    <w:p>
      <w:pPr>
        <w:ind w:right="20" w:firstLine="1428"/>
        <w:spacing w:after="0" w:line="279" w:lineRule="auto"/>
        <w:tabs>
          <w:tab w:leader="none" w:pos="2052"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amend, modify, supplement or terminate any Convertible Notes Indenture or any Capped Call Confirmation or take any action that would result in a change to the Conversion Rate (as defined in the applicable Convertible Notes Indenture as in effect on the date hereof) or a Potential Adjustment Event or otherwise an adjustment to the Option Entitlement, Strike Price or Cap Price (each as defined in the applicable Capped Call Confirmations as in effect on the date hereof) (other than as contemplated pursuant to </w:t>
      </w:r>
      <w:r>
        <w:rPr>
          <w:rFonts w:ascii="Arial" w:cs="Arial" w:eastAsia="Arial" w:hAnsi="Arial"/>
          <w:sz w:val="17"/>
          <w:szCs w:val="17"/>
          <w:u w:val="single" w:color="auto"/>
          <w:color w:val="auto"/>
        </w:rPr>
        <w:t>Section 6.15</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100" w:hanging="672"/>
        <w:spacing w:after="0"/>
        <w:tabs>
          <w:tab w:leader="none" w:pos="2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 to use reasonable best efforts to maintain any Communications Authorization in full force and effect; or</w:t>
      </w:r>
    </w:p>
    <w:p>
      <w:pPr>
        <w:spacing w:after="0" w:line="225" w:lineRule="exact"/>
        <w:rPr>
          <w:rFonts w:ascii="Arial" w:cs="Arial" w:eastAsia="Arial" w:hAnsi="Arial"/>
          <w:sz w:val="18"/>
          <w:szCs w:val="18"/>
          <w:color w:val="auto"/>
        </w:rPr>
      </w:pPr>
    </w:p>
    <w:p>
      <w:pPr>
        <w:ind w:left="2140" w:hanging="712"/>
        <w:spacing w:after="0"/>
        <w:tabs>
          <w:tab w:leader="none" w:pos="2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Conduct of Business by Parent Pending the Closing</w:t>
      </w:r>
      <w:r>
        <w:rPr>
          <w:rFonts w:ascii="Arial" w:cs="Arial" w:eastAsia="Arial" w:hAnsi="Arial"/>
          <w:sz w:val="18"/>
          <w:szCs w:val="18"/>
          <w:color w:val="auto"/>
        </w:rPr>
        <w:t xml:space="preserve">. Parent agrees that between the date hereof and the earlier of the date of the Effective Time or the date, if any, on which this Agreement is validly terminated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w:t>
      </w:r>
    </w:p>
    <w:p>
      <w:pPr>
        <w:spacing w:after="0" w:line="188" w:lineRule="exact"/>
        <w:rPr>
          <w:sz w:val="20"/>
          <w:szCs w:val="20"/>
          <w:color w:val="auto"/>
        </w:rPr>
      </w:pPr>
    </w:p>
    <w:p>
      <w:pPr>
        <w:jc w:val="both"/>
        <w:ind w:right="340" w:firstLine="987"/>
        <w:spacing w:after="0" w:line="263" w:lineRule="auto"/>
        <w:tabs>
          <w:tab w:leader="none" w:pos="13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the Parent Governing Documents (whether by merger, consolidation, operation of law or otherwise) in a manner that would materially and adversely affect the Company Stockholders, or adversely affect the Company Stockholders relative to other holders of Parent Class A Common Stock;</w:t>
      </w:r>
    </w:p>
    <w:p>
      <w:pPr>
        <w:spacing w:after="0" w:line="183" w:lineRule="exact"/>
        <w:rPr>
          <w:rFonts w:ascii="Arial" w:cs="Arial" w:eastAsia="Arial" w:hAnsi="Arial"/>
          <w:sz w:val="18"/>
          <w:szCs w:val="18"/>
          <w:color w:val="auto"/>
        </w:rPr>
      </w:pPr>
    </w:p>
    <w:p>
      <w:pPr>
        <w:ind w:firstLine="987"/>
        <w:spacing w:after="0" w:line="257" w:lineRule="auto"/>
        <w:tabs>
          <w:tab w:leader="none" w:pos="138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for which the proper adjustment is made;</w:t>
      </w:r>
    </w:p>
    <w:p>
      <w:pPr>
        <w:spacing w:after="0" w:line="187" w:lineRule="exact"/>
        <w:rPr>
          <w:rFonts w:ascii="Arial" w:cs="Arial" w:eastAsia="Arial" w:hAnsi="Arial"/>
          <w:sz w:val="18"/>
          <w:szCs w:val="18"/>
          <w:color w:val="auto"/>
        </w:rPr>
      </w:pPr>
    </w:p>
    <w:p>
      <w:pPr>
        <w:ind w:right="280" w:firstLine="987"/>
        <w:spacing w:after="0" w:line="263" w:lineRule="auto"/>
        <w:tabs>
          <w:tab w:leader="none" w:pos="13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split, combine, subdivide, reduce or reclassify any of its capital stock, except for (i) any such transaction involving only wholly owned Parent Subsidiaries, and (ii) any transactions that would require an adjustment to the Merger Consideration pursuant to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for which the proper adjustment is made;</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adopt a plan of complete or partial liquidation or dissolution with respect to Parent, Merger Sub or any direct or indirect parent entity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Merger Sub;</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1" w:name="page62"/>
    <w:bookmarkEnd w:id="61"/>
    <w:p>
      <w:pPr>
        <w:ind w:left="4" w:right="20" w:firstLine="987"/>
        <w:spacing w:after="0" w:line="283" w:lineRule="auto"/>
        <w:tabs>
          <w:tab w:leader="none" w:pos="1375"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acquire (including by merger, consolidation or acquisition of stock or assets or any other means) or publicly announce an intention to so acquire, or enter into any agreements providing for any acquisitions of, any equity interests in or a material portion of the assets of any Person (or any business or division thereof) set forth on </w:t>
      </w:r>
      <w:r>
        <w:rPr>
          <w:rFonts w:ascii="Arial" w:cs="Arial" w:eastAsia="Arial" w:hAnsi="Arial"/>
          <w:sz w:val="16"/>
          <w:szCs w:val="16"/>
          <w:u w:val="single" w:color="auto"/>
          <w:color w:val="auto"/>
        </w:rPr>
        <w:t>Section 5.2(e)</w:t>
      </w:r>
      <w:r>
        <w:rPr>
          <w:rFonts w:ascii="Arial" w:cs="Arial" w:eastAsia="Arial" w:hAnsi="Arial"/>
          <w:sz w:val="16"/>
          <w:szCs w:val="16"/>
          <w:color w:val="auto"/>
        </w:rPr>
        <w:t xml:space="preserve"> of the Parent Disclosure Letter that (i) would require (A) the filing by Parent or any Parent Subsidiaries of a Notification and Report Form pursuant to the HSR Act with respect to such acquisition or (B) any pre-closing approvals, consents, waivers or clearances under any Antitrust Laws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with respect to such acquisition and (ii) would reasonably be expected under applicable Antitrust Law in the United States or in the jurisdictions specified in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to (and actually does) cause material additional substantive review of the Merger that would prevent (A) any waiting period (or extensions thereof) applicable to the Transactions under the HSR Act from expiring or terminating prior to the Outside Date or (B) Parent or Purchaser from obtaining, prior to the Outside Date, any of the required pre-closing approvals, consents, waivers or clearances applicable to the Transactions under any Antitrust Laws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or</w:t>
      </w:r>
    </w:p>
    <w:p>
      <w:pPr>
        <w:spacing w:after="0" w:line="4" w:lineRule="exact"/>
        <w:rPr>
          <w:rFonts w:ascii="Arial" w:cs="Arial" w:eastAsia="Arial" w:hAnsi="Arial"/>
          <w:sz w:val="16"/>
          <w:szCs w:val="16"/>
          <w:color w:val="auto"/>
        </w:rPr>
      </w:pPr>
    </w:p>
    <w:p>
      <w:pPr>
        <w:ind w:left="4" w:right="3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7.1(d)(iii)</w:t>
      </w:r>
      <w:r>
        <w:rPr>
          <w:rFonts w:ascii="Arial" w:cs="Arial" w:eastAsia="Arial" w:hAnsi="Arial"/>
          <w:sz w:val="18"/>
          <w:szCs w:val="18"/>
          <w:color w:val="auto"/>
        </w:rPr>
        <w:t xml:space="preserve"> of the Parent Disclosure Letter; provided that in no event shall a breach of this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constitute a “willful breach” for any purpose under this Agreement; or</w:t>
      </w:r>
    </w:p>
    <w:p>
      <w:pPr>
        <w:spacing w:after="0" w:line="185" w:lineRule="exact"/>
        <w:rPr>
          <w:rFonts w:ascii="Arial" w:cs="Arial" w:eastAsia="Arial" w:hAnsi="Arial"/>
          <w:sz w:val="16"/>
          <w:szCs w:val="16"/>
          <w:color w:val="auto"/>
        </w:rPr>
      </w:pPr>
    </w:p>
    <w:p>
      <w:pPr>
        <w:ind w:left="1344" w:hanging="353"/>
        <w:spacing w:after="0"/>
        <w:tabs>
          <w:tab w:leader="none" w:pos="13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333"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No Solicitation by the Company</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87" w:lineRule="auto"/>
        <w:tabs>
          <w:tab w:leader="none" w:pos="1375"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From and after the date hereof until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the Company agrees that it shall not, and shall cause the Company Subsidiaries, and its and their respective officers and directors not to, and shall use its reasonable best efforts to cause its and the Company Subsidiaries’ other Representatives to not, directly or indirectly:</w:t>
      </w:r>
    </w:p>
    <w:p>
      <w:pPr>
        <w:spacing w:after="0" w:line="2" w:lineRule="exact"/>
        <w:rPr>
          <w:rFonts w:ascii="Arial" w:cs="Arial" w:eastAsia="Arial" w:hAnsi="Arial"/>
          <w:sz w:val="16"/>
          <w:szCs w:val="16"/>
          <w:color w:val="auto"/>
        </w:rPr>
      </w:pPr>
    </w:p>
    <w:p>
      <w:pPr>
        <w:ind w:left="4" w:right="100" w:hanging="4"/>
        <w:spacing w:after="0" w:line="281" w:lineRule="auto"/>
        <w:tabs>
          <w:tab w:leader="none" w:pos="219" w:val="left"/>
        </w:tabs>
        <w:numPr>
          <w:ilvl w:val="0"/>
          <w:numId w:val="84"/>
        </w:numPr>
        <w:rPr>
          <w:rFonts w:ascii="Arial" w:cs="Arial" w:eastAsia="Arial" w:hAnsi="Arial"/>
          <w:sz w:val="16"/>
          <w:szCs w:val="16"/>
          <w:color w:val="auto"/>
        </w:rPr>
      </w:pPr>
      <w:r>
        <w:rPr>
          <w:rFonts w:ascii="Arial" w:cs="Arial" w:eastAsia="Arial" w:hAnsi="Arial"/>
          <w:sz w:val="16"/>
          <w:szCs w:val="16"/>
          <w:color w:val="auto"/>
        </w:rPr>
        <w:t>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(ii) participate in any negotiations regarding, or furnish to any person any nonpublic information relating to the Company or any Company Subsidiary in connection with an actual or potential Acquisition Proposal; (iii) adopt, approve, endorse or recommend, or publicly propose to adopt, approve, endorse or recommend, any Acquisition Proposal; (iv) withdraw, change, amend, modify or qualify, or otherwise propose to withdraw, change, amend, modify or qualify, in a manner adverse to Parent, the Company Board Recommendation, or resolve or agree to take any such action;</w:t>
      </w:r>
    </w:p>
    <w:p>
      <w:pPr>
        <w:spacing w:after="0" w:line="3" w:lineRule="exact"/>
        <w:rPr>
          <w:rFonts w:ascii="Arial" w:cs="Arial" w:eastAsia="Arial" w:hAnsi="Arial"/>
          <w:sz w:val="16"/>
          <w:szCs w:val="16"/>
          <w:color w:val="auto"/>
        </w:rPr>
      </w:pPr>
    </w:p>
    <w:p>
      <w:pPr>
        <w:ind w:left="4" w:right="40" w:hanging="4"/>
        <w:spacing w:after="0" w:line="270" w:lineRule="auto"/>
        <w:tabs>
          <w:tab w:leader="none" w:pos="259"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an Acquisition Proposal has been publicly disclosed, fail to publicly recommend against any such Acquisition Proposal within ten (10) Business Days after the public disclosure of such Acquisition Proposal (or subsequently withdraw, change, amend, modify or qualify, in a manner adverse to Parent, such rejection of such Acquisition Proposal) and reaffirm the Company Board Recommendation within such ten (10) Business Day period (or, if earlier, by the second (2nd) Business Day prior to the Company Stockholders Meeting); (vi) fail to include the Company Board Recommendation in the Proxy Statement/Prospectus; (vii) approve, or authorize, or cause or permit the Company or any Company Subsidiary to enter into, any merger agreement, acquisition agreement, reorganization agreement, letter of intent, memorandum of understanding,</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62" w:name="page63"/>
    <w:bookmarkEnd w:id="6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in principle, option agreement, joint venture agreement, partnership agreement or similar agreement or document with respect to, or any other agreement or commitment providing for, any Acquisition Proposal (other than an Acceptable Confidentiality Agreement entered into in accordance with this </w:t>
      </w:r>
      <w:r>
        <w:rPr>
          <w:rFonts w:ascii="Arial" w:cs="Arial" w:eastAsia="Arial" w:hAnsi="Arial"/>
          <w:sz w:val="16"/>
          <w:szCs w:val="16"/>
          <w:u w:val="single" w:color="auto"/>
          <w:color w:val="auto"/>
        </w:rPr>
        <w:t>Section 5.3</w:t>
      </w:r>
      <w:r>
        <w:rPr>
          <w:rFonts w:ascii="Arial" w:cs="Arial" w:eastAsia="Arial" w:hAnsi="Arial"/>
          <w:sz w:val="16"/>
          <w:szCs w:val="16"/>
          <w:color w:val="auto"/>
        </w:rPr>
        <w:t>)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xml:space="preserve">”), (viii) call or convene a meeting of the Company Stockholders to consider a proposal that would reasonably be expected to materially impair, prevent or delay the consummation of the Transactions or (ix) resolve or agree to do any of the foregoing (any act described in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(to the extent related to the foregoing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a “</w:t>
      </w:r>
      <w:r>
        <w:rPr>
          <w:rFonts w:ascii="Arial" w:cs="Arial" w:eastAsia="Arial" w:hAnsi="Arial"/>
          <w:sz w:val="16"/>
          <w:szCs w:val="16"/>
          <w:u w:val="single" w:color="auto"/>
          <w:color w:val="auto"/>
        </w:rPr>
        <w:t>Change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w:t>
      </w:r>
      <w:r>
        <w:rPr>
          <w:rFonts w:ascii="Arial" w:cs="Arial" w:eastAsia="Arial" w:hAnsi="Arial"/>
          <w:sz w:val="16"/>
          <w:szCs w:val="16"/>
          <w:color w:val="auto"/>
        </w:rPr>
        <w:t xml:space="preserve">”). The Company shall, and the Company shall cause the Company Subsidiaries, and its and their respective officers and directors to, and shall use its reasonable best efforts to cause its and the Company Subsidiaries’ other Representatives to, immediately cease any and all existing solicitation, discussions or negotiations with any persons (or provision of any nonpublic information to any persons) with respect to any inquiry, proposal or offer that constitutes, or would reasonably be expected to lead to, an Acquisition Proposal. Promptly after the date hereof (and in any event within two (2) Business Days following the date hereof), the Company shall (A)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(B) terminate access to any physical or electronic data rooms relating to a possible Acquisition Proposal by such person and its Representatives. The Company shall enforce, and not waive, terminate or modify without Parent’s prior written consent, any confidentiality, standstill or similar provision in any confidentiality, standstill or other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Board of Directors determines in good faith after consultation with the Company’s outside legal counsel that the failure to waive a particular standstill provision would be reasonably likely to be inconsistent with the directors’ fiduciary duties under applicable Law, the Company may, with prior written notice to Parent, waive such standstill solely to the extent necessary to permit the applicable person (if it has not been solicited in violation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make, on a confidential basis to the Company Board of Directors, an Acquisition Proposal, conditioned upon such person agreeing to disclosure of such Acquisition Proposal to Parent, in each case as contemplated by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the term “</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means any Person or “group,” as defined in Section 13(d) of the Exchange Act, other than, with respect to the Company, Parent or any Parent Subsidiary or any of their Representatives. Notwithstanding the limitations set forth in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if the Company receives, prior to the Company Stockholder Approval being obtained, a bona fide written Acquisition Proposal that did not result from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Company and the Company Subsidiaries and the Company’s Representatives may contact the Person or any of its Representatives who has made such Acquisition Proposal solely to clarify the terms and conditions of such Acquisition Proposal so that the Company may inform itself about such Acquisition Proposal. For the avoidance of doubt, any violation of the restrictions set forth in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by (x) a Company Subsidiary, (y) a director or officer of the Company or any Company Subsidiary or (z) any other Representatives acting on behalf of the Company or any Company Subsidiary shall be a breach of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by the Company.</w:t>
      </w:r>
    </w:p>
    <w:p>
      <w:pPr>
        <w:spacing w:after="0" w:line="386" w:lineRule="exact"/>
        <w:rPr>
          <w:sz w:val="20"/>
          <w:szCs w:val="20"/>
          <w:color w:val="auto"/>
        </w:rPr>
      </w:pPr>
    </w:p>
    <w:p>
      <w:pPr>
        <w:ind w:right="340" w:firstLine="987"/>
        <w:spacing w:after="0" w:line="308" w:lineRule="auto"/>
        <w:tabs>
          <w:tab w:leader="none" w:pos="13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Notwithstanding the limitations set forth in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if the Company receives, prior to the Company Stockholder Approval being obtained, a bona fide, written Acquisition Proposal that did not result from a breach of this </w:t>
      </w:r>
      <w:r>
        <w:rPr>
          <w:rFonts w:ascii="Arial" w:cs="Arial" w:eastAsia="Arial" w:hAnsi="Arial"/>
          <w:sz w:val="17"/>
          <w:szCs w:val="17"/>
          <w:u w:val="single" w:color="auto"/>
          <w:color w:val="auto"/>
        </w:rPr>
        <w:t>Section 5.3</w:t>
      </w:r>
      <w:r>
        <w:rPr>
          <w:rFonts w:ascii="Arial" w:cs="Arial" w:eastAsia="Arial" w:hAnsi="Arial"/>
          <w:sz w:val="17"/>
          <w:szCs w:val="17"/>
          <w:color w:val="auto"/>
        </w:rPr>
        <w:t>, which the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3" w:name="page64"/>
    <w:bookmarkEnd w:id="63"/>
    <w:p>
      <w:pPr>
        <w:jc w:val="both"/>
        <w:ind w:left="4"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of Directors determines in good faith after consultation with the Company’s outside legal counsel and financial advisors (i) constitutes a Superior Proposal or (ii) would reasonably be expected to result in a Superior Proposal and, in each case, that the failure to take such action would be reasonably likely to be inconsistent with the directors’ fiduciary duties under applicable Law, then in either event the Company may take the following actions:</w:t>
      </w:r>
    </w:p>
    <w:p>
      <w:pPr>
        <w:spacing w:after="0" w:line="2" w:lineRule="exact"/>
        <w:rPr>
          <w:sz w:val="20"/>
          <w:szCs w:val="20"/>
          <w:color w:val="auto"/>
        </w:rPr>
      </w:pPr>
    </w:p>
    <w:p>
      <w:pPr>
        <w:ind w:left="4" w:right="40" w:hanging="4"/>
        <w:spacing w:after="0" w:line="253" w:lineRule="auto"/>
        <w:tabs>
          <w:tab w:leader="none" w:pos="2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furnish nonpublic information with respect to the Company to the Person making such Acquisition Proposal and its Representatives acting on such Person’s behalf, if, and only if, prior to so furnishing such information, the Company receives from such person an executed Acceptable Confidentiality Agreement and the Company also provides Parent, prior to or substantially concurrently with the time such information is provided or made available to such person, any nonpublic information furnished to such other person that was not previously furnished to Parent, and (y) engage in discussions or negotiations with such person with respect to such Acquisition Proposal.</w:t>
      </w:r>
    </w:p>
    <w:p>
      <w:pPr>
        <w:spacing w:after="0" w:line="190" w:lineRule="exact"/>
        <w:rPr>
          <w:rFonts w:ascii="Arial" w:cs="Arial" w:eastAsia="Arial" w:hAnsi="Arial"/>
          <w:sz w:val="18"/>
          <w:szCs w:val="18"/>
          <w:color w:val="auto"/>
        </w:rPr>
      </w:pPr>
    </w:p>
    <w:p>
      <w:pPr>
        <w:ind w:left="4" w:firstLine="987"/>
        <w:spacing w:after="0" w:line="284" w:lineRule="auto"/>
        <w:tabs>
          <w:tab w:leader="none" w:pos="1372"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The Company shall promptly (and in any event within twenty-four (24) hours) notify Parent of the Company’s or any of its controlled affiliates’ or its or their respective Representatives’ receipt of any Acquisition Proposal, any proposals or inquiries that would reasonably be expected to lead to an Acquisition Proposal, or any inquiry or request for nonpublic information relating to the Company or any Company Subsidiary by any person who has made or would reasonably be expected to make any Acquisition Proposal. Such notice shall indicate the identity of the person making the Acquisition Proposal, inquiry or request, and the material terms and conditions of any such proposal or offer or the nature of the information requested pursuant to such inquiry or request, including unredacted copies of all proposals or offers, including proposed agreements received by the Company relating to such Acquisition Proposal or, if such Acquisition Proposal is not in writing, a reasonably detailed written description of the material terms and conditions thereof. Without limiting the Company’s other obligations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Company shall keep Parent reasonably informed on a prompt and timely basis of the status and material terms (including any amendments or proposed amendments to such material terms) of any such Acquisition Proposal or potential Acquisition Proposal and keep Parent reasonably informed on a prompt and timely basis as to the nature of any information requested of the Company with respect thereto and provide to Parent copies of all proposals, offers and proposed agreements relating to an Acquisition Proposal received by the Company or its Representatives, or, if such information or communication is not in writing, a reasonably detailed written description of the material contents thereof. Without limiting the Company’s other obligations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Company shall promptly provide (and in any event within twenty-four (24) hours) to Parent any material nonpublic information concerning the Company provided to any other person in connection with any Acquisition Proposal that was not previously provided to Parent. Without limiting the foregoing, the Company shall promptly (and in any event within twenty-four (24) hours after such determination) inform Parent in writing if the Company determines to begin providing information or to engage in discussions or negotiations concerning an Acquisition Proposal pursuant to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Unless this Agreement has been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the Company shall not take any action to exempt any person other than Parent or Merger Sub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64" w:name="page65"/>
    <w:bookmarkEnd w:id="64"/>
    <w:p>
      <w:pPr>
        <w:ind w:left="4" w:firstLine="987"/>
        <w:spacing w:after="0" w:line="284" w:lineRule="auto"/>
        <w:tabs>
          <w:tab w:leader="none" w:pos="1385" w:val="left"/>
        </w:tabs>
        <w:numPr>
          <w:ilvl w:val="1"/>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the contrary, but subject to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at any time prior to the Company Stockholder Approval being obtained, the Company Board of Directors may (i) make a Change of Recommendation (only of the type contemplated by </w:t>
      </w:r>
      <w:r>
        <w:rPr>
          <w:rFonts w:ascii="Arial" w:cs="Arial" w:eastAsia="Arial" w:hAnsi="Arial"/>
          <w:sz w:val="16"/>
          <w:szCs w:val="16"/>
          <w:u w:val="single" w:color="auto"/>
          <w:color w:val="auto"/>
        </w:rPr>
        <w:t>Section 5.3(a)(iv)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5.3(a)(vi)</w:t>
      </w:r>
      <w:r>
        <w:rPr>
          <w:rFonts w:ascii="Arial" w:cs="Arial" w:eastAsia="Arial" w:hAnsi="Arial"/>
          <w:sz w:val="16"/>
          <w:szCs w:val="16"/>
          <w:color w:val="auto"/>
        </w:rPr>
        <w:t xml:space="preserve">) in response to an Intervening Event if the Company Board of Directors has determined in good faith after consultation with the Company’s outside legal counsel and financial advisors, that the failure to take such action would be reasonably likely to be inconsistent with the directors’ fiduciary duties under applicable Law or (ii) make a Change of Recommendation and cause the Company to terminate this Agreement pursuant to and in accordance with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in order to enter into a definitive agreement providing for an unsolicited Acquisition Proposal (which, for the avoidance of doubt, did not result from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which the Company Board of Directors determines in good faith after consultation with the Company’s outside legal counsel and financial advisors is a Superior Proposal, but only if the Company Board of Directors has determined in good faith after consultation with the Company’s outside legal counsel and financial advisors that failure to take such action would be reasonably likely to be inconsistent with the directors’ fiduciary duties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herein, neither the Company nor any Company Subsidiary shall enter into any Company Acquisition Agreement unless this Agreement has been validly terminated in accordance with </w:t>
      </w:r>
      <w:r>
        <w:rPr>
          <w:rFonts w:ascii="Arial" w:cs="Arial" w:eastAsia="Arial" w:hAnsi="Arial"/>
          <w:sz w:val="16"/>
          <w:szCs w:val="16"/>
          <w:u w:val="single" w:color="auto"/>
          <w:color w:val="auto"/>
        </w:rPr>
        <w:t>Section 8.1(g)</w:t>
      </w:r>
      <w:r>
        <w:rPr>
          <w:rFonts w:ascii="Arial" w:cs="Arial" w:eastAsia="Arial" w:hAnsi="Arial"/>
          <w:sz w:val="16"/>
          <w:szCs w:val="16"/>
          <w:color w:val="auto"/>
        </w:rPr>
        <w:t>. “</w:t>
      </w:r>
      <w:r>
        <w:rPr>
          <w:rFonts w:ascii="Arial" w:cs="Arial" w:eastAsia="Arial" w:hAnsi="Arial"/>
          <w:sz w:val="16"/>
          <w:szCs w:val="16"/>
          <w:u w:val="single" w:color="auto"/>
          <w:color w:val="auto"/>
        </w:rPr>
        <w:t>Intervening Event</w:t>
      </w:r>
      <w:r>
        <w:rPr>
          <w:rFonts w:ascii="Arial" w:cs="Arial" w:eastAsia="Arial" w:hAnsi="Arial"/>
          <w:sz w:val="16"/>
          <w:szCs w:val="16"/>
          <w:color w:val="auto"/>
        </w:rPr>
        <w:t xml:space="preserve">” means any Effect that is material to the Company and the Company Subsidiaries (taken as a whole) and was not known by or reasonably foreseeable to the Company or the Company Board of Directors as of or prior to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following events, changes or developments constitute an Intervening Event: (A) the receipt, existence or terms of an Acquisition Proposal or any matter relating thereto or consequence thereof, (B) changes in the market price or trading volume of the Company Common Stock, the Parent Class A Common Stock or any other securities of the Company, Parent or their respective Subsidiaries, or any change in credit rating or the fact that the Company meets or exceeds (or that Parent fails to meet or exceed) internal or published estimates, projections, forecasts or predictions for any period, (C) changes in general economic, political or financial conditions or markets (including changes in interest rates, exchange rates, stock, bond or debt prices), (D) changes in GAAP, other applicable accounting rules or applicable Law or, in any such case, changes in the interpretation thereof, or (E) natural disasters, epidemics or pandemics (including the existence and impact of COVID-19).</w:t>
      </w:r>
    </w:p>
    <w:p>
      <w:pPr>
        <w:spacing w:after="0" w:line="181" w:lineRule="exact"/>
        <w:rPr>
          <w:rFonts w:ascii="Arial" w:cs="Arial" w:eastAsia="Arial" w:hAnsi="Arial"/>
          <w:sz w:val="16"/>
          <w:szCs w:val="16"/>
          <w:color w:val="auto"/>
        </w:rPr>
      </w:pPr>
    </w:p>
    <w:p>
      <w:pPr>
        <w:ind w:left="1364" w:hanging="373"/>
        <w:spacing w:after="0"/>
        <w:tabs>
          <w:tab w:leader="none" w:pos="1364"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Prior to the Company taking any action permitted (i) under </w:t>
      </w:r>
      <w:r>
        <w:rPr>
          <w:rFonts w:ascii="Arial" w:cs="Arial" w:eastAsia="Arial" w:hAnsi="Arial"/>
          <w:sz w:val="18"/>
          <w:szCs w:val="18"/>
          <w:u w:val="single" w:color="auto"/>
          <w:color w:val="auto"/>
        </w:rPr>
        <w:t>Section 5.3(d)(i)</w:t>
      </w:r>
      <w:r>
        <w:rPr>
          <w:rFonts w:ascii="Arial" w:cs="Arial" w:eastAsia="Arial" w:hAnsi="Arial"/>
          <w:sz w:val="18"/>
          <w:szCs w:val="18"/>
          <w:color w:val="auto"/>
        </w:rPr>
        <w:t>, the Company shall provide Parent with four</w:t>
      </w:r>
    </w:p>
    <w:p>
      <w:pPr>
        <w:spacing w:after="0" w:line="23" w:lineRule="exact"/>
        <w:rPr>
          <w:rFonts w:ascii="Arial" w:cs="Arial" w:eastAsia="Arial" w:hAnsi="Arial"/>
          <w:sz w:val="18"/>
          <w:szCs w:val="18"/>
          <w:color w:val="auto"/>
        </w:rPr>
      </w:pPr>
    </w:p>
    <w:p>
      <w:pPr>
        <w:ind w:left="4" w:right="40" w:hanging="4"/>
        <w:spacing w:after="0" w:line="287" w:lineRule="auto"/>
        <w:tabs>
          <w:tab w:leader="none" w:pos="259"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Business Days’ prior written notice advising Parent that the Company Board of Directors intends to effect a Change of Recommendation and specifying, in reasonable detail, the reasons therefor, and during such four (4) Business Day period, the Company shall procure that its Representatives (including its executive officers) negotiate in good faith (solely to the extent Parent desires to negotiate) any proposal by Parent to amend the terms and conditions of this Agreement in a manner that would obviate the need to effect a Change of Recommendation and at the end of such four (4) Business Day period the Company Board of Directors again makes the determination </w:t>
      </w:r>
      <w:r>
        <w:rPr>
          <w:rFonts w:ascii="Arial" w:cs="Arial" w:eastAsia="Arial" w:hAnsi="Arial"/>
          <w:sz w:val="16"/>
          <w:szCs w:val="16"/>
          <w:u w:val="single" w:color="auto"/>
          <w:color w:val="auto"/>
        </w:rPr>
        <w:t>Section 5.3(d)(i)</w:t>
      </w:r>
      <w:r>
        <w:rPr>
          <w:rFonts w:ascii="Arial" w:cs="Arial" w:eastAsia="Arial" w:hAnsi="Arial"/>
          <w:sz w:val="16"/>
          <w:szCs w:val="16"/>
          <w:color w:val="auto"/>
        </w:rPr>
        <w:t xml:space="preserve"> (after in good faith taking into account any amendments proposed by Parent) or (ii) under </w:t>
      </w:r>
      <w:r>
        <w:rPr>
          <w:rFonts w:ascii="Arial" w:cs="Arial" w:eastAsia="Arial" w:hAnsi="Arial"/>
          <w:sz w:val="16"/>
          <w:szCs w:val="16"/>
          <w:u w:val="single" w:color="auto"/>
          <w:color w:val="auto"/>
        </w:rPr>
        <w:t>Section 5.3(d)(ii)</w:t>
      </w:r>
      <w:r>
        <w:rPr>
          <w:rFonts w:ascii="Arial" w:cs="Arial" w:eastAsia="Arial" w:hAnsi="Arial"/>
          <w:sz w:val="16"/>
          <w:szCs w:val="16"/>
          <w:color w:val="auto"/>
        </w:rPr>
        <w:t>, the Company shall provide Parent with four (4) Business Days’ prior written notice advising Parent that the Company Board of Directors intends to take such action and specifying the material terms and conditions of the Acquisition Proposal, including a copy of any proposed definitive documentation, and during such four (4) Business Day period, the Company</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65" w:name="page66"/>
    <w:bookmarkEnd w:id="65"/>
    <w:p>
      <w:pPr>
        <w:ind w:left="4"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procure that its Representatives (including its executive officers) negotiate in good faith (solely to the extent Parent desires to negotiate) any proposal by Parent to amend the terms and conditions of this Agreement such that such Acquisition Proposal would no longer constitute a Superior Proposal and at the end of such four (4) Business Day period the Company Board of Directors again makes the determination under </w:t>
      </w: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(after in good faith taking into account the amendments proposed by Parent). With respect to </w:t>
      </w:r>
      <w:r>
        <w:rPr>
          <w:rFonts w:ascii="Arial" w:cs="Arial" w:eastAsia="Arial" w:hAnsi="Arial"/>
          <w:sz w:val="16"/>
          <w:szCs w:val="16"/>
          <w:u w:val="single" w:color="auto"/>
          <w:color w:val="auto"/>
        </w:rPr>
        <w:t>Section 5.3(e)(ii)</w:t>
      </w:r>
      <w:r>
        <w:rPr>
          <w:rFonts w:ascii="Arial" w:cs="Arial" w:eastAsia="Arial" w:hAnsi="Arial"/>
          <w:sz w:val="16"/>
          <w:szCs w:val="16"/>
          <w:color w:val="auto"/>
        </w:rPr>
        <w:t xml:space="preserve">, if there are any material amendments, revisions or changes to the terms of any such Superior Proposal (including any revision to the amount, form or mix of consideration the Company Stockholders would receive as a result of the Superior Proposal), the Company shall notify Parent of each such amendment, revision or change in compliance with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and the applicable four (4) Business Day period shall be extended until at least three (3) Business Days after the time that Parent receives notification from the Company of each such revision, and the Company Board of Directors shall not take any such action permitted under </w:t>
      </w: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prior to the end of any such period as so extended in accordance with the terms of this </w:t>
      </w:r>
      <w:r>
        <w:rPr>
          <w:rFonts w:ascii="Arial" w:cs="Arial" w:eastAsia="Arial" w:hAnsi="Arial"/>
          <w:sz w:val="16"/>
          <w:szCs w:val="16"/>
          <w:u w:val="single" w:color="auto"/>
          <w:color w:val="auto"/>
        </w:rPr>
        <w:t>Section 5.3(e)</w:t>
      </w:r>
      <w:r>
        <w:rPr>
          <w:rFonts w:ascii="Arial" w:cs="Arial" w:eastAsia="Arial" w:hAnsi="Arial"/>
          <w:sz w:val="16"/>
          <w:szCs w:val="16"/>
          <w:color w:val="auto"/>
        </w:rPr>
        <w:t>.</w:t>
      </w:r>
    </w:p>
    <w:p>
      <w:pPr>
        <w:spacing w:after="0" w:line="166" w:lineRule="exact"/>
        <w:rPr>
          <w:sz w:val="20"/>
          <w:szCs w:val="20"/>
          <w:color w:val="auto"/>
        </w:rPr>
      </w:pPr>
    </w:p>
    <w:p>
      <w:pPr>
        <w:ind w:left="4" w:right="500" w:firstLine="987"/>
        <w:spacing w:after="0" w:line="291" w:lineRule="auto"/>
        <w:tabs>
          <w:tab w:leader="none" w:pos="1355"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Nothing in this Agreement shall prohibit the Company or the Company Board of Directors from (i) disclosing to the Company Stockholders a position contemplated by Item 1012(a) of Regulation M-A or Rules 14d-9 and 14e-2(a) promulgated under the Exchange Act,</w:t>
      </w:r>
    </w:p>
    <w:p>
      <w:pPr>
        <w:ind w:left="264" w:hanging="264"/>
        <w:spacing w:after="0"/>
        <w:tabs>
          <w:tab w:leader="none" w:pos="264" w:val="left"/>
        </w:tabs>
        <w:numPr>
          <w:ilvl w:val="0"/>
          <w:numId w:val="91"/>
        </w:numPr>
        <w:rPr>
          <w:rFonts w:ascii="Arial" w:cs="Arial" w:eastAsia="Arial" w:hAnsi="Arial"/>
          <w:sz w:val="16"/>
          <w:szCs w:val="16"/>
          <w:color w:val="auto"/>
        </w:rPr>
      </w:pPr>
      <w:r>
        <w:rPr>
          <w:rFonts w:ascii="Arial" w:cs="Arial" w:eastAsia="Arial" w:hAnsi="Arial"/>
          <w:sz w:val="16"/>
          <w:szCs w:val="16"/>
          <w:color w:val="auto"/>
        </w:rPr>
        <w:t>making any “stop, look and listen” communication to the Company Stockholders pursuant to Rule 14d-9(f) promulgated under the Exchange Act or</w:t>
      </w:r>
    </w:p>
    <w:p>
      <w:pPr>
        <w:spacing w:after="0" w:line="32" w:lineRule="exact"/>
        <w:rPr>
          <w:rFonts w:ascii="Arial" w:cs="Arial" w:eastAsia="Arial" w:hAnsi="Arial"/>
          <w:sz w:val="16"/>
          <w:szCs w:val="16"/>
          <w:color w:val="auto"/>
        </w:rPr>
      </w:pPr>
    </w:p>
    <w:p>
      <w:pPr>
        <w:ind w:left="324" w:hanging="324"/>
        <w:spacing w:after="0"/>
        <w:tabs>
          <w:tab w:leader="none" w:pos="324" w:val="left"/>
        </w:tabs>
        <w:numPr>
          <w:ilvl w:val="0"/>
          <w:numId w:val="91"/>
        </w:numPr>
        <w:rPr>
          <w:rFonts w:ascii="Arial" w:cs="Arial" w:eastAsia="Arial" w:hAnsi="Arial"/>
          <w:sz w:val="16"/>
          <w:szCs w:val="16"/>
          <w:color w:val="auto"/>
        </w:rPr>
      </w:pPr>
      <w:r>
        <w:rPr>
          <w:rFonts w:ascii="Arial" w:cs="Arial" w:eastAsia="Arial" w:hAnsi="Arial"/>
          <w:sz w:val="16"/>
          <w:szCs w:val="16"/>
          <w:color w:val="auto"/>
        </w:rPr>
        <w:t>making any legally required disclosure to the Company Stockholders with regard to an Acquisition Proposal, which actions, in the case of clauses</w:t>
      </w:r>
    </w:p>
    <w:p>
      <w:pPr>
        <w:spacing w:after="0" w:line="32" w:lineRule="exact"/>
        <w:rPr>
          <w:rFonts w:ascii="Arial" w:cs="Arial" w:eastAsia="Arial" w:hAnsi="Arial"/>
          <w:sz w:val="16"/>
          <w:szCs w:val="16"/>
          <w:color w:val="auto"/>
        </w:rPr>
      </w:pPr>
    </w:p>
    <w:p>
      <w:pPr>
        <w:ind w:left="4" w:right="500"/>
        <w:spacing w:after="0" w:line="281" w:lineRule="auto"/>
        <w:rPr>
          <w:rFonts w:ascii="Arial" w:cs="Arial" w:eastAsia="Arial" w:hAnsi="Arial"/>
          <w:sz w:val="16"/>
          <w:szCs w:val="16"/>
          <w:color w:val="auto"/>
        </w:rPr>
      </w:pPr>
      <w:r>
        <w:rPr>
          <w:rFonts w:ascii="Arial" w:cs="Arial" w:eastAsia="Arial" w:hAnsi="Arial"/>
          <w:sz w:val="16"/>
          <w:szCs w:val="16"/>
          <w:color w:val="auto"/>
        </w:rPr>
        <w:t>(i)-(iii), shall not constitute or be deemed to constitute a Change of Recommendation so long as any such disclosure (x) includes an express reaffirmation of the Company Board Recommendation, without any amendment, withdrawal, alteration, modification or qualification thereof and</w:t>
      </w:r>
    </w:p>
    <w:p>
      <w:pPr>
        <w:spacing w:after="0" w:line="1" w:lineRule="exact"/>
        <w:rPr>
          <w:rFonts w:ascii="Arial" w:cs="Arial" w:eastAsia="Arial" w:hAnsi="Arial"/>
          <w:sz w:val="16"/>
          <w:szCs w:val="16"/>
          <w:color w:val="auto"/>
        </w:rPr>
      </w:pPr>
    </w:p>
    <w:p>
      <w:pPr>
        <w:ind w:left="4" w:right="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(y) does not include any statement that constitutes, and does not otherwise constitute, a Change of Recommendation. For the avoidance of doubt, this </w:t>
      </w:r>
      <w:r>
        <w:rPr>
          <w:rFonts w:ascii="Arial" w:cs="Arial" w:eastAsia="Arial" w:hAnsi="Arial"/>
          <w:sz w:val="18"/>
          <w:szCs w:val="18"/>
          <w:u w:val="single" w:color="auto"/>
          <w:color w:val="auto"/>
        </w:rPr>
        <w:t>Section 5.3(f)</w:t>
      </w:r>
      <w:r>
        <w:rPr>
          <w:rFonts w:ascii="Arial" w:cs="Arial" w:eastAsia="Arial" w:hAnsi="Arial"/>
          <w:sz w:val="18"/>
          <w:szCs w:val="18"/>
          <w:color w:val="auto"/>
        </w:rPr>
        <w:t xml:space="preserve"> shall not permit the Company Board of Directors to make (or otherwise modify the definition of) a Change of Recommendation except to the extent expressly permitted by </w:t>
      </w:r>
      <w:r>
        <w:rPr>
          <w:rFonts w:ascii="Arial" w:cs="Arial" w:eastAsia="Arial" w:hAnsi="Arial"/>
          <w:sz w:val="18"/>
          <w:szCs w:val="18"/>
          <w:u w:val="single" w:color="auto"/>
          <w:color w:val="auto"/>
        </w:rPr>
        <w:t>Section 5.3(d)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5.3(e)</w:t>
      </w:r>
      <w:r>
        <w:rPr>
          <w:rFonts w:ascii="Arial" w:cs="Arial" w:eastAsia="Arial" w:hAnsi="Arial"/>
          <w:sz w:val="18"/>
          <w:szCs w:val="18"/>
          <w:color w:val="auto"/>
        </w:rPr>
        <w:t>.</w:t>
      </w:r>
    </w:p>
    <w:p>
      <w:pPr>
        <w:spacing w:after="0" w:line="298"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Preparation of the Form S-4 and the Proxy Statement/Prospectus; Company Stockholders Meeting</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96" w:lineRule="auto"/>
        <w:tabs>
          <w:tab w:leader="none" w:pos="1365"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 promptly as reasonably practicable after the execution of this Agreement, the Company (with Parent’s reasonable cooperation) shall use reasonable best efforts to prepare within thirty (30) days following the execution of this Agreement a mutually acceptable Proxy Statement/Prospectus (as part of the Form S-4), and Parent (with the Company’s reasonable cooperation) shall use reasonable best efforts to prepare and file within thirty (30) days following the execution of this Agreement with the SEC the Form S-4, in which the Proxy Statement/Prospectus will be included as a prospectus, in connection with the registration under the Securities Act of the Parent Class A Common Stock to be issued in the Merger.</w:t>
      </w:r>
    </w:p>
    <w:p>
      <w:pPr>
        <w:spacing w:after="0" w:line="161" w:lineRule="exact"/>
        <w:rPr>
          <w:rFonts w:ascii="Arial" w:cs="Arial" w:eastAsia="Arial" w:hAnsi="Arial"/>
          <w:sz w:val="16"/>
          <w:szCs w:val="16"/>
          <w:color w:val="auto"/>
        </w:rPr>
      </w:pPr>
    </w:p>
    <w:p>
      <w:pPr>
        <w:ind w:left="4" w:right="120" w:firstLine="1428"/>
        <w:spacing w:after="0" w:line="259" w:lineRule="auto"/>
        <w:tabs>
          <w:tab w:leader="none" w:pos="1786"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of Parent and the Company shall use its reasonable best efforts to (A) cause the Form S-4 and the Proxy Statement/Prospectus to comply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4"/>
          </w:cols>
          <w:pgMar w:left="436" w:top="274" w:right="499" w:bottom="1440" w:gutter="0" w:footer="0" w:header="0"/>
        </w:sectPr>
      </w:pPr>
    </w:p>
    <w:bookmarkStart w:id="66" w:name="page67"/>
    <w:bookmarkEnd w:id="66"/>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be taken under any applicable state securities Laws in connection with the issuance of Parent Class A Common Stock in connection with the Merger and (C) keep the Form S-4 effective through the Closing in order to permit the consummation of the Merger. Each of Parent and the Company shall furnish all information as may be reasonably requested by the other in connection with any such action and the preparation, filing and distribution of the Form S-4 and the Proxy Statement/Prospectus. As promptly as practicable after the Form S-4 shall have become effective, the Company shall use its reasonable best efforts to cause the Proxy Statement/Prospectus to be filed and mailed to its stockholders. No filing of, or amendment or supplement to, the Form S-4 will be made by Parent, and no filing of, or amendment or supplement to, the Proxy Statement/Prospectus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Arial" w:cs="Arial" w:eastAsia="Arial" w:hAnsi="Arial"/>
          <w:sz w:val="16"/>
          <w:szCs w:val="16"/>
          <w:u w:val="single" w:color="auto"/>
          <w:color w:val="auto"/>
        </w:rPr>
        <w:t>Section 5.4</w:t>
      </w:r>
      <w:r>
        <w:rPr>
          <w:rFonts w:ascii="Arial" w:cs="Arial" w:eastAsia="Arial" w:hAnsi="Arial"/>
          <w:sz w:val="16"/>
          <w:szCs w:val="16"/>
          <w:color w:val="auto"/>
        </w:rPr>
        <w:t>, with respect to documents filed by a Party which are incorporated by reference in the Form S-4 or the Proxy Statement/Prospectus, this right to review and comment shall apply only with respect to information relating to the other Party or such other Party’s business, financial condition or results of operations.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 for offering or sale in any jurisdiction, or of the receipt of any comments from the SEC or the staff of the SEC and of any request by the SEC or the staff of the SEC for amendments or supplements to the Proxy Statement/Prospectus or the Form S-4 or for additional information and shall supply each other with copies of all correspondence between either Party or any of its Representatives, on the one hand, and the SEC or its staff, on the other hand, with respect to the Proxy Statement/Prospectus, the Form S-4 or the Merger.</w:t>
      </w:r>
    </w:p>
    <w:p>
      <w:pPr>
        <w:spacing w:after="0" w:line="178" w:lineRule="exact"/>
        <w:rPr>
          <w:sz w:val="20"/>
          <w:szCs w:val="20"/>
          <w:color w:val="auto"/>
        </w:rPr>
      </w:pPr>
    </w:p>
    <w:p>
      <w:pPr>
        <w:ind w:firstLine="1428"/>
        <w:spacing w:after="0" w:line="254" w:lineRule="auto"/>
        <w:tabs>
          <w:tab w:leader="none" w:pos="18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 to filing of the Form S-4, Parent (and Merger Sub) and the Company shall use their respective reasonable best efforts to execute and deliver to Cooley LLP, counsel to Parent (“</w:t>
      </w:r>
      <w:r>
        <w:rPr>
          <w:rFonts w:ascii="Arial" w:cs="Arial" w:eastAsia="Arial" w:hAnsi="Arial"/>
          <w:sz w:val="18"/>
          <w:szCs w:val="18"/>
          <w:u w:val="single" w:color="auto"/>
          <w:color w:val="auto"/>
        </w:rPr>
        <w:t>Parent Counsel</w:t>
      </w:r>
      <w:r>
        <w:rPr>
          <w:rFonts w:ascii="Arial" w:cs="Arial" w:eastAsia="Arial" w:hAnsi="Arial"/>
          <w:sz w:val="18"/>
          <w:szCs w:val="18"/>
          <w:color w:val="auto"/>
        </w:rPr>
        <w:t>”), and to Latham &amp; Watkins LLP, counsel to the Company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Counsel</w:t>
      </w:r>
      <w:r>
        <w:rPr>
          <w:rFonts w:ascii="Arial" w:cs="Arial" w:eastAsia="Arial" w:hAnsi="Arial"/>
          <w:sz w:val="18"/>
          <w:szCs w:val="18"/>
          <w:color w:val="auto"/>
        </w:rPr>
        <w:t>”), the applicable “</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xml:space="preserve">” referenced in </w:t>
      </w:r>
      <w:r>
        <w:rPr>
          <w:rFonts w:ascii="Arial" w:cs="Arial" w:eastAsia="Arial" w:hAnsi="Arial"/>
          <w:sz w:val="18"/>
          <w:szCs w:val="18"/>
          <w:u w:val="single" w:color="auto"/>
          <w:color w:val="auto"/>
        </w:rPr>
        <w:t>Section 6.14(b)</w:t>
      </w:r>
      <w:r>
        <w:rPr>
          <w:rFonts w:ascii="Arial" w:cs="Arial" w:eastAsia="Arial" w:hAnsi="Arial"/>
          <w:sz w:val="18"/>
          <w:szCs w:val="18"/>
          <w:color w:val="auto"/>
        </w:rPr>
        <w:t>. Following the delivery of the Tax Representation Letters pursuant to the preceding sentence, and prior to the effectiveness of the Form S-4: (A) Parent shall use reasonable best efforts to cause Parent Counsel to deliver to Parent a tax opinion satisfying the requirements of Item 601 of Regulation S-K under the Securities Act; and (B) the Company shall use its reasonable best efforts to cause Company Counsel to deliver to the Company a tax opinion satisfying the requirements of Item 601 of Regulation S-K under the Securities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7" w:name="page68"/>
    <w:bookmarkEnd w:id="67"/>
    <w:p>
      <w:pPr>
        <w:ind w:left="4" w:right="40" w:firstLine="987"/>
        <w:spacing w:after="0" w:line="283" w:lineRule="auto"/>
        <w:tabs>
          <w:tab w:leader="none" w:pos="1385" w:val="left"/>
        </w:tabs>
        <w:numPr>
          <w:ilvl w:val="1"/>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earlier termination of this Agreement in accordance with </w:t>
      </w:r>
      <w:r>
        <w:rPr>
          <w:rFonts w:ascii="Arial" w:cs="Arial" w:eastAsia="Arial" w:hAnsi="Arial"/>
          <w:sz w:val="16"/>
          <w:szCs w:val="16"/>
          <w:u w:val="single" w:color="auto"/>
          <w:color w:val="auto"/>
        </w:rPr>
        <w:t>Section 8.1</w:t>
      </w:r>
      <w:r>
        <w:rPr>
          <w:rFonts w:ascii="Arial" w:cs="Arial" w:eastAsia="Arial" w:hAnsi="Arial"/>
          <w:sz w:val="16"/>
          <w:szCs w:val="16"/>
          <w:color w:val="auto"/>
        </w:rPr>
        <w:t>, the Company shall (i) as promptly as reasonably practicable after the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as soon as reasonably practicable after the date hereof (but in no event later than forty-five (45) days following the effectiveness of the Form S-4),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The Company agrees (i) to provide Parent with reasonably detailed periodic updates concerning proxy solicitation results on a timely basis (including, if requested, promptly providing daily voting reports in the last seven (7) days prior to the Company Stockholders Meeting) and</w:t>
      </w:r>
    </w:p>
    <w:p>
      <w:pPr>
        <w:spacing w:after="0" w:line="4" w:lineRule="exact"/>
        <w:rPr>
          <w:rFonts w:ascii="Arial" w:cs="Arial" w:eastAsia="Arial" w:hAnsi="Arial"/>
          <w:sz w:val="16"/>
          <w:szCs w:val="16"/>
          <w:color w:val="auto"/>
        </w:rPr>
      </w:pPr>
    </w:p>
    <w:p>
      <w:pPr>
        <w:ind w:left="4" w:right="280" w:hanging="4"/>
        <w:spacing w:after="0" w:line="323" w:lineRule="auto"/>
        <w:tabs>
          <w:tab w:leader="none" w:pos="269"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give written notice (which, for the avoidance of doubt, may be given via email) to Parent one (1) day prior to, and on the date of, the Company Stockholders Meeting, indicating whether, as of such date, sufficient proxies representing the Company Stockholder Approval have been obtained.</w:t>
      </w:r>
    </w:p>
    <w:p>
      <w:pPr>
        <w:spacing w:after="0" w:line="138" w:lineRule="exact"/>
        <w:rPr>
          <w:rFonts w:ascii="Arial" w:cs="Arial" w:eastAsia="Arial" w:hAnsi="Arial"/>
          <w:sz w:val="16"/>
          <w:szCs w:val="16"/>
          <w:color w:val="auto"/>
        </w:rPr>
      </w:pPr>
    </w:p>
    <w:p>
      <w:pPr>
        <w:ind w:left="4" w:right="20" w:firstLine="987"/>
        <w:spacing w:after="0" w:line="284" w:lineRule="auto"/>
        <w:tabs>
          <w:tab w:leader="none" w:pos="1375" w:val="left"/>
        </w:tabs>
        <w:numPr>
          <w:ilvl w:val="1"/>
          <w:numId w:val="9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the Company shall not adjourn or postpone the Company Stockholders Meeting without Parent’s prior written consent; provided that without Parent’s prior written consent, the Company may adjourn or postpone the Company Stockholders Meeting (i) after consultation with Parent, to the extent necessary to ensure that any supplement or amendment to the Proxy Statement/Prospectus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 (10) Business Days, and (y) the Company shall only be permitted to effect no more than one</w:t>
      </w:r>
    </w:p>
    <w:p>
      <w:pPr>
        <w:ind w:left="4"/>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(1) such adjournment or postponement pursuant to this clause (ii); provided that (A) no postponement contemplated by this clause (ii) shall be permitted if it would require a change to the record date for the Company Stockholders Meeting, and (B) if requested by Parent, the Company shall effect an adjournment or postponement of the Company Stockholders Meeting under the circumstances contemplated by this clause (ii) for a period of up to twenty (20) Business Days in the aggregate (provided that Parent shall only make up to two (2) such requests, each for up to ten (10) Business Days, and no such request for a postponement shall be permitted if it would require a change in the record date for the Company Stockholders Meeting). The Company shall use its reasonable best efforts to (A) solicit from the Company Stockholders proxies in favor of the adoption of this Agreement and approval of the Transactions, including the Merger and (B) take all other action necessary or advisable to secure the Company Stockholder Approval, including, unless the Company Board of Directors has validly made a Change of Recommendation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by communicating to the Company Stockholders the Company Board Recommendation and including such Company Board Recommendation in the Proxy Statement/Prospectus. Notwithstanding any Change of</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68" w:name="page69"/>
    <w:bookmarkEnd w:id="68"/>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ADDITIONAL AGREEMENTS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Access; Confidentiality; Notice of Certain Events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5" w:lineRule="auto"/>
        <w:tabs>
          <w:tab w:leader="none" w:pos="137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From the date hereof until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to the extent permitted by applicable Law, the Company shall, and shall cause each Company Subsidiary to, afford to Parent and Parent’s Representatives reasonable access during normal business hours and upon reasonable advance notice to the Company’s and the Company Subsidiaries’ offices, properties, Contracts, personnel, books and records (so long as any such access does not unreasonably interfere with the Company’s business), and during such period, the Company shall, and shall cause the Company Subsidiaries to, use reasonable best efforts to furnish as promptly as practicable to Parent all information (financial or otherwise) concerning its business, properties, offices, Contracts and personnel as Parent may reasonably request (including information for purposes of transition and integration planning). Notwithstanding the foregoing, the Company shall not be required by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to provide Parent or Parent’s Representatives with access to or to disclose information (i) that is prohibited from being disclosed pursuant to the terms of a confidentiality agreement with a third party entered into prior to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Parent’s written request, the Company shall use its commercially reasonable efforts (x) to obtain the required consent of such third party to such access or disclosure or (y) to make appropriate substitute arrangements to permit reasonable access or disclosure not in violation of such consent requirement), (ii) the disclosure of which, in the reasonable good faith judgment of the Company, would violate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use its commercially reasonable efforts to allow for such access or disclosure to the maximum extent that such access or disclosure would not jeopardize attorney-client, attorney work product or other legal privilege).</w:t>
      </w:r>
    </w:p>
    <w:p>
      <w:pPr>
        <w:spacing w:after="0" w:line="176" w:lineRule="exact"/>
        <w:rPr>
          <w:rFonts w:ascii="Arial" w:cs="Arial" w:eastAsia="Arial" w:hAnsi="Arial"/>
          <w:sz w:val="16"/>
          <w:szCs w:val="16"/>
          <w:color w:val="auto"/>
        </w:rPr>
      </w:pPr>
    </w:p>
    <w:p>
      <w:pPr>
        <w:ind w:right="440" w:firstLine="987"/>
        <w:spacing w:after="0" w:line="263" w:lineRule="auto"/>
        <w:tabs>
          <w:tab w:leader="none" w:pos="13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Each of the Company and Parent will hold, and will cause its Representatives and affiliates to hold, any information exchanged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in confidence to the extent required by and in accordance with, and will otherwise comply with, the terms of the Confidentiality Agreement.</w:t>
      </w:r>
    </w:p>
    <w:p>
      <w:pPr>
        <w:spacing w:after="0" w:line="183" w:lineRule="exact"/>
        <w:rPr>
          <w:rFonts w:ascii="Arial" w:cs="Arial" w:eastAsia="Arial" w:hAnsi="Arial"/>
          <w:sz w:val="18"/>
          <w:szCs w:val="18"/>
          <w:color w:val="auto"/>
        </w:rPr>
      </w:pPr>
    </w:p>
    <w:p>
      <w:pPr>
        <w:ind w:right="80" w:firstLine="987"/>
        <w:spacing w:after="0" w:line="277" w:lineRule="auto"/>
        <w:tabs>
          <w:tab w:leader="none" w:pos="13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Company shall give prompt notice to Parent, and Parent shall give prompt written notice to the Company (solely with respect to the matters set forth in </w:t>
      </w:r>
      <w:r>
        <w:rPr>
          <w:rFonts w:ascii="Arial" w:cs="Arial" w:eastAsia="Arial" w:hAnsi="Arial"/>
          <w:sz w:val="18"/>
          <w:szCs w:val="18"/>
          <w:u w:val="single" w:color="auto"/>
          <w:color w:val="auto"/>
        </w:rPr>
        <w:t>clauses (i)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69" w:name="page70"/>
    <w:bookmarkEnd w:id="6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(i) of any notice or other communication received by such Party from any Governmental Entity in connection with this Agreement, the Merger or other Transactions, or from any Person alleging that the consent of such Person is or may be required in connection with the Merger or the other Transactions, (ii) of any legal proceeding commenced or, to such Party’s Knowledge, threatened against such Party or any of its Subsidiaries, affiliates, directors or officers or otherwise relating to, involving or affecting such Party or any of its Subsidiaries, affiliates, directors or officers, in each case in connection with, arising from or otherwise relating to the Merger or any other transaction contemplated by this Agreement, and (iii) upon becoming aware of the occurrence or impending occurrence of any event or circumstance relating to it or any Company Subsidiary that would reasonably be expected to have, individually or in the aggregate, a Company Material Adverse Effect or which would reasonably be expected to prevent or materially delay or impede the consummation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shall not cure any breach of any representation or warranty requiring disclosure of such matter prior to the date hereof or otherwise limit or affect the remedies available hereunder to Parent and Merger Sub;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other than in the case of the Company’s willful breach of this Section 6.1(c), that the Company’s obligations, actions or inactions pursuant to this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in each case and in and of themselves, shall be deemed excluded for purposes of determining whether the condition set forth in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has been satisfied.</w:t>
      </w:r>
    </w:p>
    <w:p>
      <w:pPr>
        <w:spacing w:after="0" w:line="276"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85" w:lineRule="auto"/>
        <w:tabs>
          <w:tab w:leader="none" w:pos="1371"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each Party will use its reasonable best efforts to take, or cause to be taken, all actions and to do, or cause to be done, all things necessary, proper or advisable under applicable Law to consummate the Transactions, including the Merger, as soon as practicable after the date hereof, including (i) preparing and filing or otherwise providing, in consultation with the other Party and as promptly as practicable and advisable after the date hereof, all documentation to effect all necessary or advisable applications, notices, petitions, filings and other documents and to obtain as promptly as reasonably practicable all waiting period expirations or terminations, consents, clearances, waivers, licenses, orders, registrations, approvals, permits and authorizations necessary or advisable to be obtained from any third party or any Governmental Entity in order to consummate the Transactions, including the Merger, and (ii) taking all steps as may be necessary, subject to the limitations in this </w:t>
      </w:r>
      <w:r>
        <w:rPr>
          <w:rFonts w:ascii="Arial" w:cs="Arial" w:eastAsia="Arial" w:hAnsi="Arial"/>
          <w:sz w:val="16"/>
          <w:szCs w:val="16"/>
          <w:u w:val="single" w:color="auto"/>
          <w:color w:val="auto"/>
        </w:rPr>
        <w:t>Section 6.2</w:t>
      </w:r>
      <w:r>
        <w:rPr>
          <w:rFonts w:ascii="Arial" w:cs="Arial" w:eastAsia="Arial" w:hAnsi="Arial"/>
          <w:sz w:val="16"/>
          <w:szCs w:val="16"/>
          <w:color w:val="auto"/>
        </w:rPr>
        <w:t>, to obtain all such waiting period expirations or terminations, consents, clearances, waivers, licenses, registrations, permits, authorizations, orders and approvals. In furtherance and not in limitation of the foregoing, each Party agrees to (x) make an appropriate filing of a Notification and Report Form pursuant to the HSR Act with respect to the Transactions as promptly as practicable, and in any event within ten (10) Business Days after the execution of this Agreement (unless a later date is mutually agreed between the Parties), and to supply as promptly as reasonably practicable and advisable additional information and documentary materials that may be requested pursuant to the HSR Act and to take all other actions necessary to cause the expiration or termination of the applicable waiting periods under the HSR Act as soon as reasonably practicable, (y) make all other necessary filings as promptly as reasonably practicable after the date hereof, and to supply as promptly as reasonably practicable and advisable any additional information and documentary materials that may be requested under Antitrust Law and (z) submit all notices, filings or applications with any applicable Governmental Entities required to obtain (i) the Communications Approvals and (ii) any other required consents for the transfer of control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0" w:name="page71"/>
    <w:bookmarkEnd w:id="70"/>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Communications Authorizations with respect to the Transactions, in each case no later than ten (10) Business Days after the execution of this Agreement (unless a later date is mutually agreed between the Parties). Notwithstanding anything to the contrary in this Agreement, none of Parent, Merger Sub or any of their respective Subsidiaries shall be required to, and the Company may not and may not permit any Subsidiary to, without the prior written consent of Parent, become subject to, consent to or offer or agree to, or otherwise take any action with respect to, any requirement, condition, limitation, understanding, agreement or order to (A) sell, license, assign, transfer, divest, hold separate or otherwise dispose of any assets, business or portion of business of the Company, the Surviving Company, Parent, Merger Sub or any Subsidiary of any of the foregoing, (B) conduct, restrict, operate, invest or otherwise change the assets, the business or portion of the business of the Company, the Surviving Company, Parent, Merger Sub or any Subsidiary of any of the foregoing in any manner or (C) impose any restriction, requirement or limitation on the operation of the business or portion of the business, or any assets of the Company, the Surviving Company, Parent, Merger Sub or any Subsidiary of any of the foregoing, other than to the extent the actions specified in clauses (B) and (C) would, individually or in the aggregate, have no greater than a de minimis impact (including the cost and/or time associated with complying with such actions) on Parent, the Company, or the strategic and/or financial benefits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requested by Parent, the Company or its Subsidiaries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or its Subsidiaries in the event the Closing occurs.</w:t>
      </w:r>
    </w:p>
    <w:p>
      <w:pPr>
        <w:spacing w:after="0" w:line="171" w:lineRule="exact"/>
        <w:rPr>
          <w:sz w:val="20"/>
          <w:szCs w:val="20"/>
          <w:color w:val="auto"/>
        </w:rPr>
      </w:pPr>
    </w:p>
    <w:p>
      <w:pPr>
        <w:ind w:left="4" w:right="140" w:firstLine="987"/>
        <w:spacing w:after="0" w:line="287" w:lineRule="auto"/>
        <w:tabs>
          <w:tab w:leader="none" w:pos="1385"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Each of Parent and the Company shall, in connection with obtaining, and without limiting the efforts referenced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obtain, all waiting period expirations or terminations, consents, clearances, Communications Approvals, waivers, licenses, orders, registrations, approvals, permits and authorizations for the Transactions under the HSR Act or any other Antitrust Law, or any Communications Laws, as applicable,</w:t>
      </w:r>
    </w:p>
    <w:p>
      <w:pPr>
        <w:spacing w:after="0" w:line="2" w:lineRule="exact"/>
        <w:rPr>
          <w:rFonts w:ascii="Arial" w:cs="Arial" w:eastAsia="Arial" w:hAnsi="Arial"/>
          <w:sz w:val="16"/>
          <w:szCs w:val="16"/>
          <w:color w:val="auto"/>
        </w:rPr>
      </w:pPr>
    </w:p>
    <w:p>
      <w:pPr>
        <w:ind w:left="4" w:hanging="4"/>
        <w:spacing w:after="0" w:line="267" w:lineRule="auto"/>
        <w:tabs>
          <w:tab w:leader="none" w:pos="219"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cooperate in all respects and consult with each other in connection with any filing or submission and in connection with any investigation or other inquiry, or litigation, including any proceeding initiated by a private party, including by allowing the other Party to have a reasonable opportunity to review in advance and comment on drafts of filings and submissions and reasonably considering in good faith comments of the other Party, (ii) promptly inform the other Party of any communication received by such Party from, or given by such Party to, the Antitrust Division of the Department of Justice (the “</w:t>
      </w:r>
      <w:r>
        <w:rPr>
          <w:rFonts w:ascii="Arial" w:cs="Arial" w:eastAsia="Arial" w:hAnsi="Arial"/>
          <w:sz w:val="17"/>
          <w:szCs w:val="17"/>
          <w:u w:val="single" w:color="auto"/>
          <w:color w:val="auto"/>
        </w:rPr>
        <w:t>DOJ</w:t>
      </w:r>
      <w:r>
        <w:rPr>
          <w:rFonts w:ascii="Arial" w:cs="Arial" w:eastAsia="Arial" w:hAnsi="Arial"/>
          <w:sz w:val="17"/>
          <w:szCs w:val="17"/>
          <w:color w:val="auto"/>
        </w:rPr>
        <w:t>”), the Federal Trade Commission (the “</w:t>
      </w:r>
      <w:r>
        <w:rPr>
          <w:rFonts w:ascii="Arial" w:cs="Arial" w:eastAsia="Arial" w:hAnsi="Arial"/>
          <w:sz w:val="17"/>
          <w:szCs w:val="17"/>
          <w:u w:val="single" w:color="auto"/>
          <w:color w:val="auto"/>
        </w:rPr>
        <w:t>FTC</w:t>
      </w:r>
      <w:r>
        <w:rPr>
          <w:rFonts w:ascii="Arial" w:cs="Arial" w:eastAsia="Arial" w:hAnsi="Arial"/>
          <w:sz w:val="17"/>
          <w:szCs w:val="17"/>
          <w:color w:val="auto"/>
        </w:rPr>
        <w:t xml:space="preserve">”), the FCC or any other Governmental Entity, by promptly providing copies to the other Party of any such written communications, and of any communication received or given in connection with any proceeding by a private party, in each case regarding any of the Transactions and (iii) permit the other Party to review in advance any communication that it gives to, and consult with each other in advance of any meeting, substantive telephone call or video conference with, the DOJ, the FTC, the FCC or any other Governmental Entity or, in connection with any proceeding by a private party, with any other Person, and to the extent permitted by the DOJ, the FTC, the FCC or other applicable Governmental Entity or other Person, give the other Party the opportunity to attend and participate in any in-person meetings, substantive telephone calls or video conferences with the DOJ, the FTC, the FCC or other Governmental Entity or other Person;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there is a dispute concerning strategy with respect to any such filing, submission, investigation, inquiry, proceeding, communication or meeting, either between the Parties or the Parties’ counsel, the preceding clauses</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4" w:right="459" w:bottom="1440" w:gutter="0" w:footer="0" w:header="0"/>
        </w:sectPr>
      </w:pPr>
    </w:p>
    <w:bookmarkStart w:id="71" w:name="page72"/>
    <w:bookmarkEnd w:id="71"/>
    <w:p>
      <w:pPr>
        <w:ind w:left="4" w:right="20"/>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shall continue to apply except that Parent shall control strategy for obtaining all such waiting period expirations or terminations, consents, clearances, Communications Approvals (so long as such control of strategy does not contravene applicable Communications Laws), waivers, licenses, orders, registrations, approvals, permits and authorizations. Materials required to be provided pursuant to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may be redacted</w:t>
      </w:r>
    </w:p>
    <w:p>
      <w:pPr>
        <w:spacing w:after="0" w:line="2" w:lineRule="exact"/>
        <w:rPr>
          <w:sz w:val="20"/>
          <w:szCs w:val="20"/>
          <w:color w:val="auto"/>
        </w:rPr>
      </w:pPr>
    </w:p>
    <w:p>
      <w:pPr>
        <w:ind w:left="4" w:right="60" w:hanging="4"/>
        <w:spacing w:after="0" w:line="270" w:lineRule="auto"/>
        <w:tabs>
          <w:tab w:leader="none" w:pos="29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to remove references concerning the valuation of Parent, Company or any of their respective Subsidiaries, (B) as necessary to comply with contractual arrangements and (C) as necessary to address reasonable privilege concerns;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of Parent and the Company may, as each deems advisable and necessary, reasonably designate any competitively sensitive material provided to the other under this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as “Outside Counsel Only” which such material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(Parent on the one hand or the Company on the other) or its legal counsel.</w:t>
      </w:r>
    </w:p>
    <w:p>
      <w:pPr>
        <w:spacing w:after="0" w:line="178" w:lineRule="exact"/>
        <w:rPr>
          <w:rFonts w:ascii="Arial" w:cs="Arial" w:eastAsia="Arial" w:hAnsi="Arial"/>
          <w:sz w:val="17"/>
          <w:szCs w:val="17"/>
          <w:color w:val="auto"/>
        </w:rPr>
      </w:pPr>
    </w:p>
    <w:p>
      <w:pPr>
        <w:ind w:left="4" w:firstLine="987"/>
        <w:spacing w:after="0" w:line="284" w:lineRule="auto"/>
        <w:tabs>
          <w:tab w:leader="none" w:pos="137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 connection with and without limiting the foregoing, the Company shall use commercially reasonable efforts to give any notices to third parties required under Contracts, and the Company shall use, and cause each of the Company Subsidiaries to use, its commercially reasonable efforts to obtain any third party consents to any Contracts that are necessary, proper or advisable to consummate the Transactions, including the Merger. Notwithstanding anything to the contrary herein, none of Parent, the Company or any of their respective Subsidiaries shall be required to pay any consent or other similar fee, payment or consideration, make any other concession or provide any additional security (including a guaranty), to obtain such third party consents (except, in the case of the Company, if requested by Parent and either (a) reimbursed or indemnified for by Parent or</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 subject to the occurrence of the Effective Time).</w:t>
      </w:r>
    </w:p>
    <w:p>
      <w:pPr>
        <w:spacing w:after="0" w:line="211" w:lineRule="exact"/>
        <w:rPr>
          <w:sz w:val="20"/>
          <w:szCs w:val="20"/>
          <w:color w:val="auto"/>
        </w:rPr>
      </w:pPr>
    </w:p>
    <w:p>
      <w:pPr>
        <w:ind w:left="4" w:right="20" w:firstLine="440"/>
        <w:spacing w:after="0" w:line="26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So long as this Agreement is in effect, neither the Company nor Parent, nor any of their respective Subsidiaries, shall issue or cause the publication of any press release or other public announcement or disclosure with respect to the Merger,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Parties shall not be required by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to provide any such review or comment to the other Party relating to any dispute between the Parties relating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obligations set forth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not apply to any communication regarding an Acquisition Proposal to the extent in accordance with </w:t>
      </w:r>
      <w:r>
        <w:rPr>
          <w:rFonts w:ascii="Arial" w:cs="Arial" w:eastAsia="Arial" w:hAnsi="Arial"/>
          <w:sz w:val="17"/>
          <w:szCs w:val="17"/>
          <w:u w:val="single" w:color="auto"/>
          <w:color w:val="auto"/>
        </w:rPr>
        <w:t>Section 5.3(f)</w:t>
      </w:r>
      <w:r>
        <w:rPr>
          <w:rFonts w:ascii="Arial" w:cs="Arial" w:eastAsia="Arial" w:hAnsi="Arial"/>
          <w:sz w:val="17"/>
          <w:szCs w:val="17"/>
          <w:color w:val="auto"/>
        </w:rPr>
        <w:t xml:space="preserve"> or a Change of Recommendation to the extent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24"/>
          </w:cols>
          <w:pgMar w:left="436" w:top="274" w:right="539" w:bottom="1440" w:gutter="0" w:footer="0" w:header="0"/>
        </w:sectPr>
      </w:pPr>
    </w:p>
    <w:bookmarkStart w:id="72" w:name="page73"/>
    <w:bookmarkEnd w:id="72"/>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6.4.</w:t>
      </w:r>
      <w:r>
        <w:rPr>
          <w:sz w:val="20"/>
          <w:szCs w:val="20"/>
          <w:color w:val="auto"/>
        </w:rPr>
        <w:tab/>
      </w:r>
      <w:r>
        <w:rPr>
          <w:rFonts w:ascii="Arial" w:cs="Arial" w:eastAsia="Arial" w:hAnsi="Arial"/>
          <w:sz w:val="16"/>
          <w:szCs w:val="16"/>
          <w:u w:val="single" w:color="auto"/>
          <w:color w:val="auto"/>
        </w:rPr>
        <w:t>D&amp;O Insurance and Indemnification</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7" w:lineRule="auto"/>
        <w:tabs>
          <w:tab w:leader="none" w:pos="137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six (6) years from and after the Effective Time, Parent shall, or shall cause the Surviving Company to, indemnify and hold harmless all past and present directors and officers of the Company and the Company Subsidiaries (collectively,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 or any of the other Transactions), whether asserted or claimed prior to, at or after the Effective Time, in connection with such Persons serving as an officer, director, employee or other fiduciary of the Company or any Company Subsidiary or of any other Person if such service was at the request or for the benefit of the Company or any Company Subsidiary, to the fullest extent permitted by applicable Law and the Company Governing Documents or the organizational documents of the applicable Company Subsidiary (as applicable) or any indemnification agreements with such Persons in existence on the date of this Agreement and provided to Parent prior to the date of this Agreement. The Parties agree that all rights to elimination of liability, indemnification 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provided to Parent prior to the date of this Agreement shall survive the Transactions, including the Merger, and shall continue in full force and effect in accordance with the terms thereof. Notwithstanding anything herein to the contrary, if any Indemnified Party notifies the Surviving Company on or prior to the sixth (6</w:t>
      </w:r>
      <w:r>
        <w:rPr>
          <w:rFonts w:ascii="Arial" w:cs="Arial" w:eastAsia="Arial" w:hAnsi="Arial"/>
          <w:sz w:val="14"/>
          <w:szCs w:val="14"/>
          <w:color w:val="auto"/>
        </w:rPr>
        <w:t>th</w:t>
      </w:r>
      <w:r>
        <w:rPr>
          <w:rFonts w:ascii="Arial" w:cs="Arial" w:eastAsia="Arial" w:hAnsi="Arial"/>
          <w:sz w:val="17"/>
          <w:szCs w:val="17"/>
          <w:color w:val="auto"/>
        </w:rPr>
        <w:t xml:space="preserve">) anniversary of the Effective Time of a matter in respect of which such Person intends in good faith to seek indemnification pursuant to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continue in effect with respect to such matter until the final disposition of all claims, actions, investigations, suits and proceedings relating thereto.</w:t>
      </w:r>
    </w:p>
    <w:p>
      <w:pPr>
        <w:spacing w:after="0" w:line="183" w:lineRule="exact"/>
        <w:rPr>
          <w:rFonts w:ascii="Arial" w:cs="Arial" w:eastAsia="Arial" w:hAnsi="Arial"/>
          <w:sz w:val="17"/>
          <w:szCs w:val="17"/>
          <w:color w:val="auto"/>
        </w:rPr>
      </w:pPr>
    </w:p>
    <w:p>
      <w:pPr>
        <w:ind w:firstLine="987"/>
        <w:spacing w:after="0" w:line="254" w:lineRule="auto"/>
        <w:tabs>
          <w:tab w:leader="none" w:pos="138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provided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other Transactions).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3" w:name="page74"/>
    <w:bookmarkEnd w:id="73"/>
    <w:p>
      <w:pPr>
        <w:ind w:right="100" w:firstLine="987"/>
        <w:spacing w:after="0" w:line="270" w:lineRule="auto"/>
        <w:tabs>
          <w:tab w:leader="none" w:pos="1361"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Subsidiaries with respect to matters arising at or prior to the Effective Time;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Company shall not commit or spend on such “tail” policy, in the aggregate, more than three hundred percent (300%)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aggregate annual premium paid by the Company prior to the date hereof for the Company’s current policies of directors’ and officers’ liability insurance and fiduciary liability insurance (the “</w:t>
      </w:r>
      <w:r>
        <w:rPr>
          <w:rFonts w:ascii="Arial" w:cs="Arial" w:eastAsia="Arial" w:hAnsi="Arial"/>
          <w:sz w:val="17"/>
          <w:szCs w:val="17"/>
          <w:u w:val="single" w:color="auto"/>
          <w:color w:val="auto"/>
        </w:rPr>
        <w:t>Base Amount</w:t>
      </w:r>
      <w:r>
        <w:rPr>
          <w:rFonts w:ascii="Arial" w:cs="Arial" w:eastAsia="Arial" w:hAnsi="Arial"/>
          <w:sz w:val="17"/>
          <w:szCs w:val="17"/>
          <w:color w:val="auto"/>
        </w:rPr>
        <w:t>”),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w:t>
      </w:r>
    </w:p>
    <w:p>
      <w:pPr>
        <w:spacing w:after="0" w:line="180" w:lineRule="exact"/>
        <w:rPr>
          <w:rFonts w:ascii="Arial" w:cs="Arial" w:eastAsia="Arial" w:hAnsi="Arial"/>
          <w:sz w:val="17"/>
          <w:szCs w:val="17"/>
          <w:color w:val="auto"/>
        </w:rPr>
      </w:pPr>
    </w:p>
    <w:p>
      <w:pPr>
        <w:ind w:firstLine="987"/>
        <w:spacing w:after="0" w:line="272" w:lineRule="auto"/>
        <w:tabs>
          <w:tab w:leader="none" w:pos="13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The rights and obligations under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survive consummation of the Merger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Arial" w:cs="Arial" w:eastAsia="Arial" w:hAnsi="Arial"/>
          <w:sz w:val="17"/>
          <w:szCs w:val="17"/>
          <w:u w:val="single" w:color="auto"/>
          <w:color w:val="auto"/>
        </w:rPr>
        <w:t>Section 6.4</w:t>
      </w:r>
      <w:r>
        <w:rPr>
          <w:rFonts w:ascii="Arial" w:cs="Arial" w:eastAsia="Arial" w:hAnsi="Arial"/>
          <w:sz w:val="17"/>
          <w:szCs w:val="17"/>
          <w:color w:val="auto"/>
        </w:rPr>
        <w:t>, each of whom may enforce the provisions thereof.</w:t>
      </w:r>
    </w:p>
    <w:p>
      <w:pPr>
        <w:spacing w:after="0" w:line="17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Takeover Statutes</w:t>
      </w:r>
      <w:r>
        <w:rPr>
          <w:rFonts w:ascii="Arial" w:cs="Arial" w:eastAsia="Arial" w:hAnsi="Arial"/>
          <w:sz w:val="18"/>
          <w:szCs w:val="18"/>
          <w:color w:val="auto"/>
        </w:rPr>
        <w:t>. The Parties shall use their respective reasonable best efforts (a) to take all action necessary so that no Takeover Statute is or becomes applicable to the Merger or any of the other Transactions and (b) if any such Takeover Statute is or becomes applicable to any of the foregoing, to take all action necessary so that the Merger and the other Transactions may be consummated as promptly as practicable on the terms contemplated by this Agreement and otherwise to eliminate or minimize the effect of such Takeover Statute on the Merger and the other Transactions. No Change of Recommendation shall change, or be deemed to change, or permit the Company or the Company Board of Directors to change, in any manner or respect, the approval of the Company Board of Directors for purposes of causing any Takeover Statute to be inapplicable to the Merger or any of the other Transactions.</w:t>
      </w:r>
    </w:p>
    <w:p>
      <w:pPr>
        <w:spacing w:after="0" w:line="19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take all action necessary to cause Merger Sub to perform its obligations under this Agreement and to consummate the Transactions, including the Merger, upon the terms and subject to the conditions set forth in this Agreement. For the avoidance of doubt, any breach by Merger Sub of the covenants of Merger Sub under this Agreement shall also be deemed to be a breach of this Agreement by Parent.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4" w:name="page75"/>
    <w:bookmarkEnd w:id="74"/>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6.7.</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70" w:lineRule="auto"/>
        <w:tabs>
          <w:tab w:leader="none" w:pos="137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Parent shall assume, honor and fulfill all of the Company Benefit Plans in accordance with their terms as in effect immediately prior to the date hereof or as subsequently amended or terminated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Arial" w:cs="Arial" w:eastAsia="Arial" w:hAnsi="Arial"/>
          <w:sz w:val="17"/>
          <w:szCs w:val="17"/>
          <w:u w:val="single" w:color="auto"/>
          <w:color w:val="auto"/>
        </w:rPr>
        <w:t>Continuing Employees</w:t>
      </w:r>
      <w:r>
        <w:rPr>
          <w:rFonts w:ascii="Arial" w:cs="Arial" w:eastAsia="Arial" w:hAnsi="Arial"/>
          <w:sz w:val="17"/>
          <w:szCs w:val="17"/>
          <w:color w:val="auto"/>
        </w:rPr>
        <w:t>”), (i) a base salary or wage rate, as applicable, and a target annual cash incentive compensation opportunity that, in the aggregate, are no less favorable than those in effect for such Continuing Employee immediately prior to Closing; provided, that each Continuing Employee shall be provided at least the same wage rate or base salary as that in effect for such Continuing Employee immediately prior to the Closing, and (ii) employee benefits (including retirement and health and welfare benefits, but excluding cash and equity compensation) that are, in the aggregate, no less favorable than those in effect for similarly situated employees of Parent and its Subsidiaries.</w:t>
      </w:r>
    </w:p>
    <w:p>
      <w:pPr>
        <w:spacing w:after="0" w:line="180" w:lineRule="exact"/>
        <w:rPr>
          <w:rFonts w:ascii="Arial" w:cs="Arial" w:eastAsia="Arial" w:hAnsi="Arial"/>
          <w:sz w:val="17"/>
          <w:szCs w:val="17"/>
          <w:color w:val="auto"/>
        </w:rPr>
      </w:pPr>
    </w:p>
    <w:p>
      <w:pPr>
        <w:ind w:firstLine="987"/>
        <w:spacing w:after="0" w:line="285" w:lineRule="auto"/>
        <w:tabs>
          <w:tab w:leader="none" w:pos="138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For all purposes (including purposes of vesting, eligibility to participate and level of benefits) under the employee benefit plans of Parent and its Subsidiaries providing benefits to any Continuing Employees after the Effective Time (the “</w:t>
      </w:r>
      <w:r>
        <w:rPr>
          <w:rFonts w:ascii="Arial" w:cs="Arial" w:eastAsia="Arial" w:hAnsi="Arial"/>
          <w:sz w:val="16"/>
          <w:szCs w:val="16"/>
          <w:u w:val="single" w:color="auto"/>
          <w:color w:val="auto"/>
        </w:rPr>
        <w:t>New Plans</w:t>
      </w:r>
      <w:r>
        <w:rPr>
          <w:rFonts w:ascii="Arial" w:cs="Arial" w:eastAsia="Arial" w:hAnsi="Arial"/>
          <w:sz w:val="16"/>
          <w:szCs w:val="16"/>
          <w:color w:val="auto"/>
        </w:rPr>
        <w:t xml:space="preserve">”), Parent and its Subsidiaries shall use commercially reasonable efforts to provide each Continuing Employee, subject to applicable law and applicable tax qualification requirements, credit for his or her years of service with the Company and its Subsidiaries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its Subsidiaries do not receive credit for prior service or (iv) for purposes of any plan that is grandfathered or frozen, either with respect to level of benefits or participation. In addition, and without limiting the generality of the foregoing, (A)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Arial" w:cs="Arial" w:eastAsia="Arial" w:hAnsi="Arial"/>
          <w:sz w:val="16"/>
          <w:szCs w:val="16"/>
          <w:u w:val="single" w:color="auto"/>
          <w:color w:val="auto"/>
        </w:rPr>
        <w:t>Old Plan</w:t>
      </w:r>
      <w:r>
        <w:rPr>
          <w:rFonts w:ascii="Arial" w:cs="Arial" w:eastAsia="Arial" w:hAnsi="Arial"/>
          <w:sz w:val="16"/>
          <w:szCs w:val="16"/>
          <w:color w:val="auto"/>
        </w:rPr>
        <w:t>”)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5" w:name="page76"/>
    <w:bookmarkEnd w:id="75"/>
    <w:p>
      <w:pPr>
        <w:ind w:firstLine="987"/>
        <w:spacing w:after="0" w:line="287" w:lineRule="auto"/>
        <w:tabs>
          <w:tab w:leader="none" w:pos="1371"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otherwise directed by Parent in writing at least five (5) Business Days before the Effective Time, the Company shall take all necessary actions to terminate its 401(k) plan,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termination. If the Company’s 401(k) plan is terminated pursuant to this </w:t>
      </w:r>
      <w:r>
        <w:rPr>
          <w:rFonts w:ascii="Arial" w:cs="Arial" w:eastAsia="Arial" w:hAnsi="Arial"/>
          <w:sz w:val="16"/>
          <w:szCs w:val="16"/>
          <w:u w:val="single" w:color="auto"/>
          <w:color w:val="auto"/>
        </w:rPr>
        <w:t>Section 6.7(c)</w:t>
      </w:r>
      <w:r>
        <w:rPr>
          <w:rFonts w:ascii="Arial" w:cs="Arial" w:eastAsia="Arial" w:hAnsi="Arial"/>
          <w:sz w:val="16"/>
          <w:szCs w:val="16"/>
          <w:color w:val="auto"/>
        </w:rPr>
        <w:t>,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w:t>
      </w:r>
    </w:p>
    <w:p>
      <w:pPr>
        <w:spacing w:after="0" w:line="167" w:lineRule="exact"/>
        <w:rPr>
          <w:rFonts w:ascii="Arial" w:cs="Arial" w:eastAsia="Arial" w:hAnsi="Arial"/>
          <w:sz w:val="16"/>
          <w:szCs w:val="16"/>
          <w:color w:val="auto"/>
        </w:rPr>
      </w:pPr>
    </w:p>
    <w:p>
      <w:pPr>
        <w:ind w:firstLine="987"/>
        <w:spacing w:after="0" w:line="257" w:lineRule="auto"/>
        <w:tabs>
          <w:tab w:leader="none" w:pos="138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Parent or an affiliate of Parent shall assume, honor and maintain for a period of twelve (12) months following the Effective Time the Company Benefits Plans (i) listed in </w:t>
      </w:r>
      <w:r>
        <w:rPr>
          <w:rFonts w:ascii="Arial" w:cs="Arial" w:eastAsia="Arial" w:hAnsi="Arial"/>
          <w:sz w:val="18"/>
          <w:szCs w:val="18"/>
          <w:u w:val="single" w:color="auto"/>
          <w:color w:val="auto"/>
        </w:rPr>
        <w:t>Section 6.7(d)(i)</w:t>
      </w:r>
      <w:r>
        <w:rPr>
          <w:rFonts w:ascii="Arial" w:cs="Arial" w:eastAsia="Arial" w:hAnsi="Arial"/>
          <w:sz w:val="18"/>
          <w:szCs w:val="18"/>
          <w:color w:val="auto"/>
        </w:rPr>
        <w:t xml:space="preserve"> the Company Disclosure Letter as in effect on the date of this Agreement, and (ii) permitted to be adopted before the Closing Date and listed in </w:t>
      </w:r>
      <w:r>
        <w:rPr>
          <w:rFonts w:ascii="Arial" w:cs="Arial" w:eastAsia="Arial" w:hAnsi="Arial"/>
          <w:sz w:val="18"/>
          <w:szCs w:val="18"/>
          <w:u w:val="single" w:color="auto"/>
          <w:color w:val="auto"/>
        </w:rPr>
        <w:t>Section 6.7(d)(ii)</w:t>
      </w:r>
      <w:r>
        <w:rPr>
          <w:rFonts w:ascii="Arial" w:cs="Arial" w:eastAsia="Arial" w:hAnsi="Arial"/>
          <w:sz w:val="18"/>
          <w:szCs w:val="18"/>
          <w:color w:val="auto"/>
        </w:rPr>
        <w:t xml:space="preserve"> of the Company Disclosure Letter as in effect as of the Closing Date. The Company and Parent or an affiliate of Parent (as applicable) shall treat the Company Benefit Plan(s) set forth in </w:t>
      </w:r>
      <w:r>
        <w:rPr>
          <w:rFonts w:ascii="Arial" w:cs="Arial" w:eastAsia="Arial" w:hAnsi="Arial"/>
          <w:sz w:val="18"/>
          <w:szCs w:val="18"/>
          <w:u w:val="single" w:color="auto"/>
          <w:color w:val="auto"/>
        </w:rPr>
        <w:t>Section 6.7(d)(iii)</w:t>
      </w:r>
      <w:r>
        <w:rPr>
          <w:rFonts w:ascii="Arial" w:cs="Arial" w:eastAsia="Arial" w:hAnsi="Arial"/>
          <w:sz w:val="18"/>
          <w:szCs w:val="18"/>
          <w:color w:val="auto"/>
        </w:rPr>
        <w:t xml:space="preserve"> of the Company Disclosure Letter as provided therein.</w:t>
      </w:r>
    </w:p>
    <w:p>
      <w:pPr>
        <w:spacing w:after="0" w:line="187" w:lineRule="exact"/>
        <w:rPr>
          <w:rFonts w:ascii="Arial" w:cs="Arial" w:eastAsia="Arial" w:hAnsi="Arial"/>
          <w:sz w:val="18"/>
          <w:szCs w:val="18"/>
          <w:color w:val="auto"/>
        </w:rPr>
      </w:pPr>
    </w:p>
    <w:p>
      <w:pPr>
        <w:ind w:right="40" w:firstLine="987"/>
        <w:spacing w:after="0" w:line="254" w:lineRule="auto"/>
        <w:tabs>
          <w:tab w:leader="none" w:pos="13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(i) be deemed or construed to be an amendment or other modification of any Company Benefit Plan or employee benefit plan of Parent or Merger Sub or (ii) create any third party rights in any current or former service provider of the Company or its affiliates (or any beneficiaries or dependents thereof).</w:t>
      </w:r>
    </w:p>
    <w:p>
      <w:pPr>
        <w:spacing w:after="0" w:line="192" w:lineRule="exact"/>
        <w:rPr>
          <w:sz w:val="20"/>
          <w:szCs w:val="20"/>
          <w:color w:val="auto"/>
        </w:rPr>
      </w:pPr>
    </w:p>
    <w:p>
      <w:pPr>
        <w:ind w:right="460" w:firstLine="440"/>
        <w:spacing w:after="0" w:line="25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Rule 16b-3</w:t>
      </w:r>
      <w:r>
        <w:rPr>
          <w:rFonts w:ascii="Arial" w:cs="Arial" w:eastAsia="Arial" w:hAnsi="Arial"/>
          <w:sz w:val="18"/>
          <w:szCs w:val="18"/>
          <w:color w:val="auto"/>
        </w:rPr>
        <w:t>. Prior to the Effective Time, the Company and Parent shall, as applicable, take all such steps as may be reasonably necessary or advisable hereto to cause any dispositions of Company equity securities (including derivative securities) and Convertible Notes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6" w:name="page77"/>
    <w:bookmarkEnd w:id="76"/>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6.9.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shall control.</w:t>
      </w:r>
    </w:p>
    <w:p>
      <w:pPr>
        <w:spacing w:after="0" w:line="185"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Delisting</w:t>
      </w:r>
      <w:r>
        <w:rPr>
          <w:rFonts w:ascii="Arial" w:cs="Arial" w:eastAsia="Arial" w:hAnsi="Arial"/>
          <w:sz w:val="18"/>
          <w:szCs w:val="18"/>
          <w:color w:val="auto"/>
        </w:rPr>
        <w:t xml:space="preserve">. Each of the Parties agrees to cooperate with the other Parties in taking, or causing to be taken, all actions necessary to delist the Company Common Stock from Nasdaq and terminate its registration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delisting and termination shall not be effective until at or after the Effective Time.</w:t>
      </w:r>
    </w:p>
    <w:p>
      <w:pPr>
        <w:spacing w:after="0" w:line="184"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Director Resignations</w:t>
      </w:r>
      <w:r>
        <w:rPr>
          <w:rFonts w:ascii="Arial" w:cs="Arial" w:eastAsia="Arial" w:hAnsi="Arial"/>
          <w:sz w:val="17"/>
          <w:szCs w:val="17"/>
          <w:color w:val="auto"/>
        </w:rPr>
        <w:t>. The Company shall use its reasonable best efforts to cause to be delivered to Parent resignations executed by each director of the Company in office as of immediately prior to the Effective Time and effective upon the Effective Time.</w:t>
      </w:r>
    </w:p>
    <w:p>
      <w:pPr>
        <w:spacing w:after="0" w:line="14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Stock Exchange Listing</w:t>
      </w:r>
      <w:r>
        <w:rPr>
          <w:rFonts w:ascii="Arial" w:cs="Arial" w:eastAsia="Arial" w:hAnsi="Arial"/>
          <w:sz w:val="18"/>
          <w:szCs w:val="18"/>
          <w:color w:val="auto"/>
        </w:rPr>
        <w:t>. Parent shall use its reasonable best efforts to cause the shares of Parent Class A Common Stock to be issued in connection with the Merger to be approved for listing on Nasdaq, subject to official notice of issuance.</w:t>
      </w:r>
    </w:p>
    <w:p>
      <w:pPr>
        <w:spacing w:after="0" w:line="170"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14d-10 Matters</w:t>
      </w:r>
      <w:r>
        <w:rPr>
          <w:rFonts w:ascii="Arial" w:cs="Arial" w:eastAsia="Arial" w:hAnsi="Arial"/>
          <w:sz w:val="16"/>
          <w:szCs w:val="16"/>
          <w:color w:val="auto"/>
        </w:rPr>
        <w:t>. The Parties acknowledge that certain payments have been made or are to be made and certain benefits have been granted or are to be granted according to employment compensation, severance and other employee benefit plans of the Company, including the Company Benefit Plans (collectively, the “</w:t>
      </w:r>
      <w:r>
        <w:rPr>
          <w:rFonts w:ascii="Arial" w:cs="Arial" w:eastAsia="Arial" w:hAnsi="Arial"/>
          <w:sz w:val="16"/>
          <w:szCs w:val="16"/>
          <w:u w:val="single" w:color="auto"/>
          <w:color w:val="auto"/>
        </w:rPr>
        <w:t>Arrangements</w:t>
      </w:r>
      <w:r>
        <w:rPr>
          <w:rFonts w:ascii="Arial" w:cs="Arial" w:eastAsia="Arial" w:hAnsi="Arial"/>
          <w:sz w:val="16"/>
          <w:szCs w:val="16"/>
          <w:color w:val="auto"/>
        </w:rPr>
        <w:t>”), to certain holders of Company Common Stock and holders of Company Equity Awards. The Compensation Committee of the Company Board of Directors (the “</w:t>
      </w:r>
      <w:r>
        <w:rPr>
          <w:rFonts w:ascii="Arial" w:cs="Arial" w:eastAsia="Arial" w:hAnsi="Arial"/>
          <w:sz w:val="16"/>
          <w:szCs w:val="16"/>
          <w:u w:val="single" w:color="auto"/>
          <w:color w:val="auto"/>
        </w:rPr>
        <w:t>Company Compensation Committee</w:t>
      </w:r>
      <w:r>
        <w:rPr>
          <w:rFonts w:ascii="Arial" w:cs="Arial" w:eastAsia="Arial" w:hAnsi="Arial"/>
          <w:sz w:val="16"/>
          <w:szCs w:val="16"/>
          <w:color w:val="auto"/>
        </w:rPr>
        <w:t xml:space="preserve">”) (a) at a meeting to be held prior to the Effective Time, has duly adopted or will duly adopt resolutions approving as an “employment compensation, severance or other employee benefit arrangement” within the meaning of Rule 14d-10(d)(1) under the Exchange Act (i) each Arrangement effective on or prior to the date hereof or entered into after the date hereof and prior to the Effective Time and (ii) the terms of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(b) will take all other actions necessary to satisfy the requirements of the non-exclusive safe harbor under Rule 14d-10(d)(2) under the Exchange Act, including with respect to the foregoing arrangements and any other applicable Transactions. The Company represents and warrants that each member of the Company Compensation Committee is an “independent director” in accordance with the requirements of Rule 14d-10(d)(2) under the Exchange Act.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7" w:name="page78"/>
    <w:bookmarkEnd w:id="77"/>
    <w:p>
      <w:pPr>
        <w:ind w:left="444"/>
        <w:spacing w:after="0"/>
        <w:tabs>
          <w:tab w:leader="none" w:pos="1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6.14.</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117" w:lineRule="exact"/>
        <w:rPr>
          <w:sz w:val="20"/>
          <w:szCs w:val="20"/>
          <w:color w:val="auto"/>
        </w:rPr>
      </w:pPr>
    </w:p>
    <w:p>
      <w:pPr>
        <w:ind w:left="4" w:right="140" w:firstLine="987"/>
        <w:spacing w:after="0" w:line="271" w:lineRule="auto"/>
        <w:tabs>
          <w:tab w:leader="none" w:pos="137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None of the Parties shall (and each Party shall cause its respective Subsidiaries not to) knowingly take any action (or knowingly fail to take any reasonable action) which action (or failure to act) would reasonably be expected to prevent or impede the Merger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 as a “reorganization” within the meaning of Section 368(a) of the Code. Each of the Parties and their respective affiliates and Representatives shall promptly notify the other Party when such notifying Party knows or has reason to believe that the Merger may not qualify as a “reorganization” within the meaning of Section 368(a) of the Code (and whether the terms of this Agreement could be reasonably amended in order to facilitate the Merger qualifying as a “reorganization” within the meaning of Section 368(a) of the Code).</w:t>
      </w:r>
    </w:p>
    <w:p>
      <w:pPr>
        <w:spacing w:after="0" w:line="178" w:lineRule="exact"/>
        <w:rPr>
          <w:rFonts w:ascii="Arial" w:cs="Arial" w:eastAsia="Arial" w:hAnsi="Arial"/>
          <w:sz w:val="17"/>
          <w:szCs w:val="17"/>
          <w:color w:val="auto"/>
        </w:rPr>
      </w:pPr>
    </w:p>
    <w:p>
      <w:pPr>
        <w:ind w:left="4" w:right="100" w:firstLine="987"/>
        <w:spacing w:after="0" w:line="284" w:lineRule="auto"/>
        <w:tabs>
          <w:tab w:leader="none" w:pos="138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 The Company shall use its reasonable best efforts to deliver to Company Counsel and Parent Counsel a “</w:t>
      </w:r>
      <w:r>
        <w:rPr>
          <w:rFonts w:ascii="Arial" w:cs="Arial" w:eastAsia="Arial" w:hAnsi="Arial"/>
          <w:sz w:val="16"/>
          <w:szCs w:val="16"/>
          <w:u w:val="single" w:color="auto"/>
          <w:color w:val="auto"/>
        </w:rPr>
        <w:t>Company 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Representation Letter</w:t>
      </w:r>
      <w:r>
        <w:rPr>
          <w:rFonts w:ascii="Arial" w:cs="Arial" w:eastAsia="Arial" w:hAnsi="Arial"/>
          <w:sz w:val="16"/>
          <w:szCs w:val="16"/>
          <w:color w:val="auto"/>
        </w:rPr>
        <w:t xml:space="preserve">,” dated both as of the date of the Tax opinions referenced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as of the Closing Date and signed by an officer of the Company, containing representations of the Company, and (ii) Parent (and Merger Sub) shall use their reasonable best efforts to deliver to Parent Counsel and Company Counsel a “</w:t>
      </w:r>
      <w:r>
        <w:rPr>
          <w:rFonts w:ascii="Arial" w:cs="Arial" w:eastAsia="Arial" w:hAnsi="Arial"/>
          <w:sz w:val="16"/>
          <w:szCs w:val="16"/>
          <w:u w:val="single" w:color="auto"/>
          <w:color w:val="auto"/>
        </w:rPr>
        <w:t>Parent Tax Representation Letter</w:t>
      </w:r>
      <w:r>
        <w:rPr>
          <w:rFonts w:ascii="Arial" w:cs="Arial" w:eastAsia="Arial" w:hAnsi="Arial"/>
          <w:sz w:val="16"/>
          <w:szCs w:val="16"/>
          <w:color w:val="auto"/>
        </w:rPr>
        <w:t xml:space="preserve">,” dated both as of the date of the Tax opinions referenced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as of the Closing Date, and signed by an officer of Parent (and Merger Sub), containing representations of Parent (and Merger Sub), in each case of clauses (i) and (ii), as shall be reasonably satisfactory in form and substance to Parent Counsel and Company Counsel, respectively, and reasonably necessary or appropriate to enable (I) Parent Counsel to render the applicable tax opinions described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4" w:hanging="4"/>
        <w:spacing w:after="0" w:line="292" w:lineRule="auto"/>
        <w:tabs>
          <w:tab w:leader="none" w:pos="28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Company Counsel to render the applicable tax opinions described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7.3(c)</w:t>
      </w:r>
      <w:r>
        <w:rPr>
          <w:rFonts w:ascii="Arial" w:cs="Arial" w:eastAsia="Arial" w:hAnsi="Arial"/>
          <w:sz w:val="16"/>
          <w:szCs w:val="16"/>
          <w:color w:val="auto"/>
        </w:rPr>
        <w:t xml:space="preserve">, and Parent Counsel and Company Counsel shall be entitled to rely upon such representations in rendering any such opinions. Each of Parent and the Company shall cooperate in good faith with one another to carry out this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and to obtain the applicable tax opinions described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7.3(c)</w:t>
      </w:r>
      <w:r>
        <w:rPr>
          <w:rFonts w:ascii="Arial" w:cs="Arial" w:eastAsia="Arial" w:hAnsi="Arial"/>
          <w:sz w:val="16"/>
          <w:szCs w:val="16"/>
          <w:color w:val="auto"/>
        </w:rPr>
        <w:t xml:space="preserve">, as applicable. In the event counsel other than Parent Counsel or Company Counsel is to render the tax opinion described in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7.3(c)</w:t>
      </w:r>
      <w:r>
        <w:rPr>
          <w:rFonts w:ascii="Arial" w:cs="Arial" w:eastAsia="Arial" w:hAnsi="Arial"/>
          <w:sz w:val="16"/>
          <w:szCs w:val="16"/>
          <w:color w:val="auto"/>
        </w:rPr>
        <w:t xml:space="preserve">, references in this </w:t>
      </w:r>
      <w:r>
        <w:rPr>
          <w:rFonts w:ascii="Arial" w:cs="Arial" w:eastAsia="Arial" w:hAnsi="Arial"/>
          <w:sz w:val="16"/>
          <w:szCs w:val="16"/>
          <w:u w:val="single" w:color="auto"/>
          <w:color w:val="auto"/>
        </w:rPr>
        <w:t>Section 6.14(b)</w:t>
      </w:r>
      <w:r>
        <w:rPr>
          <w:rFonts w:ascii="Arial" w:cs="Arial" w:eastAsia="Arial" w:hAnsi="Arial"/>
          <w:sz w:val="16"/>
          <w:szCs w:val="16"/>
          <w:color w:val="auto"/>
        </w:rPr>
        <w:t xml:space="preserve"> to Company Counsel or Parent Counsel shall be deemed references to such other counsel, as applicable.</w:t>
      </w:r>
    </w:p>
    <w:p>
      <w:pPr>
        <w:spacing w:after="0" w:line="162" w:lineRule="exact"/>
        <w:rPr>
          <w:rFonts w:ascii="Arial" w:cs="Arial" w:eastAsia="Arial" w:hAnsi="Arial"/>
          <w:sz w:val="16"/>
          <w:szCs w:val="16"/>
          <w:color w:val="auto"/>
        </w:rPr>
      </w:pPr>
    </w:p>
    <w:p>
      <w:pPr>
        <w:ind w:left="4" w:right="80" w:firstLine="987"/>
        <w:spacing w:after="0" w:line="342" w:lineRule="auto"/>
        <w:tabs>
          <w:tab w:leader="none" w:pos="137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Prior to the Closing, the Company shall deliver to Parent a certificate in a form reasonably acceptable to Parent dated as of within 30 days prior to Closing and certifying that the Company has not been a “United States real property holding corporation” within the last five years.</w:t>
      </w:r>
    </w:p>
    <w:p>
      <w:pPr>
        <w:spacing w:after="0" w:line="232" w:lineRule="exact"/>
        <w:rPr>
          <w:sz w:val="20"/>
          <w:szCs w:val="20"/>
          <w:color w:val="auto"/>
        </w:rPr>
      </w:pPr>
    </w:p>
    <w:p>
      <w:pPr>
        <w:ind w:left="444"/>
        <w:spacing w:after="0"/>
        <w:tabs>
          <w:tab w:leader="none" w:pos="1544"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5"/>
          <w:szCs w:val="15"/>
          <w:u w:val="single" w:color="auto"/>
          <w:color w:val="auto"/>
        </w:rPr>
        <w:t>Indebtedness.</w:t>
      </w:r>
    </w:p>
    <w:p>
      <w:pPr>
        <w:spacing w:after="0" w:line="117" w:lineRule="exact"/>
        <w:rPr>
          <w:sz w:val="20"/>
          <w:szCs w:val="20"/>
          <w:color w:val="auto"/>
        </w:rPr>
      </w:pPr>
    </w:p>
    <w:p>
      <w:pPr>
        <w:ind w:left="4" w:right="60" w:firstLine="987"/>
        <w:spacing w:after="0" w:line="277" w:lineRule="auto"/>
        <w:tabs>
          <w:tab w:leader="none" w:pos="137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Within the time periods required by the terms of each Convertible Notes Indenture, the Company shall, and shall cause the Company Subsidiaries to, take all actions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78" w:name="page79"/>
    <w:bookmarkEnd w:id="78"/>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by, or reasonably requested by Parent pursuant to, the applicable Convertible Notes Indenture and applicable Law to be performed by the Company or any Company Subsidiary at or prior to the Effective Time as a result of the execution and delivery of this Agreement or the consummation of the Transactions, including the giving of any notices that may be required or reasonably requested by Parent and delivery to the trustees, holders or other applicable Persons, as applicable, of any documents or instruments required or reasonably requested by Parent to be delivered at or prior to the Effective Time to such trustees, holders or other applicable Persons, in each case in connection with the execution and delivery of this Agreement, the Transactions or as otherwise required by, or reasonably requested by Parent pursuant to, the Convertible Notes Indentures; provided that the Company (or the applicable Company Subsidiary) shall deliver a copy of any such notice or other document to Parent at least three (3) Business Days prior to delivering or entering into such notice or other document in accordance with the terms of the applicable Convertible Notes Indenture. Without limiting the generality of the foregoing, prior to the Effective Time, the Company agrees to cooperate with Parent, at Parent’s written request, by (i) executing and delivering (or causing to be executed and delivered, as applicable) prior to or at the Effective Time one or more supplemental indentures, officer’s certificates and opinions of counsel (to the extent required by the trustee pursuant to the Convertible Notes Indentures), in each case in form and substance reasonably acceptable to Parent, pursuant to the applicable Convertible Notes Indenture and (ii) using its reasonable best efforts to cause each of the trustees under the Convertible Notes Indentures to execute at or prior to the Effective Time any such supplemental indentures. If the Effective Time does not occur prior to December 1, 2021, the Company shall make any Additional Interest payment required by the 2025 Notes Indenture to holders under the 2025 Notes Indenture on the December 1, 2021 interest payment date.</w:t>
      </w:r>
    </w:p>
    <w:p>
      <w:pPr>
        <w:spacing w:after="0" w:line="167" w:lineRule="exact"/>
        <w:rPr>
          <w:sz w:val="20"/>
          <w:szCs w:val="20"/>
          <w:color w:val="auto"/>
        </w:rPr>
      </w:pPr>
    </w:p>
    <w:p>
      <w:pPr>
        <w:ind w:firstLine="987"/>
        <w:spacing w:after="0" w:line="286" w:lineRule="auto"/>
        <w:tabs>
          <w:tab w:leader="none" w:pos="138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Prior to the Effective Time, the Company shall (i) take all actions reasonably requested by Parent in connection with making elections under, amending, negotiating adjustments, obtaining waivers or unwinding or otherwise settling the Capped Call Confirmations, (ii) promptly advise Parent of any notices or other communications with the counterparties to the Convertible Note Hedge Obligations in respect of any settlement or termination thereof or adjustment thereto (including any adjustments arising out of an Announcement Event (as defined in the Capped Call Confirmations)), and (iii) cooperate with Parent with respect to its efforts to settle, terminate or amend the Convertible Note Hedge Obligations and the negotiation of any termination or settlement payment or valuation related thereto or the negotiation of any amendment thereto,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(x) exercise any right that it may have to terminate, or cause the early settlement, exercise or cancellation of, the Convertible Note Hedge Obligations (other than any exercise or termination contemplated pursuant to Section 9(i)(i) of the applicable Capped Call Confirmations upon any conversion of the applicable Convertible Notes prior to the Effective Time (a “</w:t>
      </w:r>
      <w:r>
        <w:rPr>
          <w:rFonts w:ascii="Arial" w:cs="Arial" w:eastAsia="Arial" w:hAnsi="Arial"/>
          <w:sz w:val="16"/>
          <w:szCs w:val="16"/>
          <w:u w:val="single" w:color="auto"/>
          <w:color w:val="auto"/>
        </w:rPr>
        <w:t>Specified Exercise</w:t>
      </w:r>
      <w:r>
        <w:rPr>
          <w:rFonts w:ascii="Arial" w:cs="Arial" w:eastAsia="Arial" w:hAnsi="Arial"/>
          <w:sz w:val="16"/>
          <w:szCs w:val="16"/>
          <w:color w:val="auto"/>
        </w:rPr>
        <w:t xml:space="preserve">”)) (it being agreed that the Company shall notify Parent in writing as promptly as practicable prior to any such exercise or termination); or (y) agree to amend, modify or supplement the terms relating to, or agree to any amount due upon, the termination or settlement thereof, in each case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(y), without the prior written consent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6.15(b)</w:t>
      </w:r>
      <w:r>
        <w:rPr>
          <w:rFonts w:ascii="Arial" w:cs="Arial" w:eastAsia="Arial" w:hAnsi="Arial"/>
          <w:sz w:val="16"/>
          <w:szCs w:val="16"/>
          <w:color w:val="auto"/>
        </w:rPr>
        <w:t xml:space="preserve"> shall require the Company to (A) pay any fees, incur or reimburse any costs or expenses, or make any payment in connection with any Convertible Note Hedge Obligations prior to the occurrence of the Effective Time, (B) enter into or effect any settlement, termination, instrument or agreement, or agree to any settlement, termination or any other change or modification to any instrument or agreement, that is effective prior to the occurrence of the Effective Time or (C) refrain from delivering, or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5196840</wp:posOffset>
            </wp:positionH>
            <wp:positionV relativeFrom="paragraph">
              <wp:posOffset>-595630</wp:posOffset>
            </wp:positionV>
            <wp:extent cx="1619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9" w:name="page80"/>
    <w:bookmarkEnd w:id="7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delivery of, any notice required by the terms of the Convertible Note Hedge Obligations or a notice contemplated by Section 9(i)(i) of the applicable Capped Call Confirmations in connection with a Specified Exercise (it being understood that the Company will provide Parent with prior notice of any such delivery with an opportunity to comment on the relevant notice).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CONDITIONS TO CONSUMMATION OF THE MERGER</w:t>
      </w:r>
    </w:p>
    <w:p>
      <w:pPr>
        <w:spacing w:after="0" w:line="22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to Each Party’s Obligations to Effect the Merger</w:t>
      </w:r>
      <w:r>
        <w:rPr>
          <w:rFonts w:ascii="Arial" w:cs="Arial" w:eastAsia="Arial" w:hAnsi="Arial"/>
          <w:sz w:val="18"/>
          <w:szCs w:val="18"/>
          <w:color w:val="auto"/>
        </w:rPr>
        <w:t>. The respective obligations of each Party to effect the Merger shall be subject to the satisfaction on or prior to the Closing Date of each of the following conditions, any and all of which may be waived in whole or in part by Parent, Merger Sub and the Company, as the case may be, to the extent permitted by applicable Law:</w:t>
      </w:r>
    </w:p>
    <w:p>
      <w:pPr>
        <w:spacing w:after="0" w:line="184" w:lineRule="exact"/>
        <w:rPr>
          <w:sz w:val="20"/>
          <w:szCs w:val="20"/>
          <w:color w:val="auto"/>
        </w:rPr>
      </w:pPr>
    </w:p>
    <w:p>
      <w:pPr>
        <w:ind w:left="1360" w:hanging="373"/>
        <w:spacing w:after="0"/>
        <w:tabs>
          <w:tab w:leader="none" w:pos="13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Company shall have obtained the Company Stockholder Approval.</w:t>
      </w:r>
    </w:p>
    <w:p>
      <w:pPr>
        <w:spacing w:after="0" w:line="225" w:lineRule="exact"/>
        <w:rPr>
          <w:rFonts w:ascii="Arial" w:cs="Arial" w:eastAsia="Arial" w:hAnsi="Arial"/>
          <w:sz w:val="18"/>
          <w:szCs w:val="18"/>
          <w:color w:val="auto"/>
        </w:rPr>
      </w:pPr>
    </w:p>
    <w:p>
      <w:pPr>
        <w:ind w:right="140" w:firstLine="987"/>
        <w:spacing w:after="0" w:line="277" w:lineRule="auto"/>
        <w:tabs>
          <w:tab w:leader="none" w:pos="138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The shares of Parent Class A Common Stock to be issued in the Merger shall have been approved for listing on the Nasdaq (or any successor inter-dealer quotation system or stock exchange thereto) subject to official notice of issuance.</w:t>
      </w:r>
    </w:p>
    <w:p>
      <w:pPr>
        <w:spacing w:after="0" w:line="170" w:lineRule="exact"/>
        <w:rPr>
          <w:rFonts w:ascii="Arial" w:cs="Arial" w:eastAsia="Arial" w:hAnsi="Arial"/>
          <w:sz w:val="18"/>
          <w:szCs w:val="18"/>
          <w:color w:val="auto"/>
        </w:rPr>
      </w:pPr>
    </w:p>
    <w:p>
      <w:pPr>
        <w:ind w:right="520" w:firstLine="987"/>
        <w:spacing w:after="0" w:line="277" w:lineRule="auto"/>
        <w:tabs>
          <w:tab w:leader="none" w:pos="137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Form S-4</w:t>
      </w:r>
      <w:r>
        <w:rPr>
          <w:rFonts w:ascii="Arial" w:cs="Arial" w:eastAsia="Arial" w:hAnsi="Arial"/>
          <w:sz w:val="18"/>
          <w:szCs w:val="18"/>
          <w:color w:val="auto"/>
        </w:rPr>
        <w:t>. The Form S-4 shall have become effective under the Securities Act and shall not be the subject of any stop order or proceeding seeking a stop.</w:t>
      </w:r>
    </w:p>
    <w:p>
      <w:pPr>
        <w:spacing w:after="0" w:line="170" w:lineRule="exact"/>
        <w:rPr>
          <w:rFonts w:ascii="Arial" w:cs="Arial" w:eastAsia="Arial" w:hAnsi="Arial"/>
          <w:sz w:val="18"/>
          <w:szCs w:val="18"/>
          <w:color w:val="auto"/>
        </w:rPr>
      </w:pPr>
    </w:p>
    <w:p>
      <w:pPr>
        <w:ind w:right="20" w:firstLine="987"/>
        <w:spacing w:after="0" w:line="255" w:lineRule="auto"/>
        <w:tabs>
          <w:tab w:leader="none" w:pos="138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Government Consents</w:t>
      </w:r>
      <w:r>
        <w:rPr>
          <w:rFonts w:ascii="Arial" w:cs="Arial" w:eastAsia="Arial" w:hAnsi="Arial"/>
          <w:sz w:val="18"/>
          <w:szCs w:val="18"/>
          <w:color w:val="auto"/>
        </w:rPr>
        <w:t xml:space="preserve">. (i) All waiting periods (and extensions thereof) applicable to the Transactions under the HSR Act shall have expired or been terminated and any timing agreement entered into by Parent with the prior written consent of the Company with any applicable Governmental Entities shall have expired or been terminated; (ii) all other required approvals, consents, waivers or clearances under any Antitrust Laws of the jurisdictions set forth on </w:t>
      </w:r>
      <w:r>
        <w:rPr>
          <w:rFonts w:ascii="Arial" w:cs="Arial" w:eastAsia="Arial" w:hAnsi="Arial"/>
          <w:sz w:val="18"/>
          <w:szCs w:val="18"/>
          <w:u w:val="single" w:color="auto"/>
          <w:color w:val="auto"/>
        </w:rPr>
        <w:t>Section 7.1(d)(ii)</w:t>
      </w:r>
      <w:r>
        <w:rPr>
          <w:rFonts w:ascii="Arial" w:cs="Arial" w:eastAsia="Arial" w:hAnsi="Arial"/>
          <w:sz w:val="18"/>
          <w:szCs w:val="18"/>
          <w:color w:val="auto"/>
        </w:rPr>
        <w:t xml:space="preserve"> of the Parent Disclosure Letter shall have been obtained; and (iii) no Governmental Entity in a jurisdiction set forth on </w:t>
      </w:r>
      <w:r>
        <w:rPr>
          <w:rFonts w:ascii="Arial" w:cs="Arial" w:eastAsia="Arial" w:hAnsi="Arial"/>
          <w:sz w:val="18"/>
          <w:szCs w:val="18"/>
          <w:u w:val="single" w:color="auto"/>
          <w:color w:val="auto"/>
        </w:rPr>
        <w:t>Section 7.1(d)(iii)</w:t>
      </w:r>
      <w:r>
        <w:rPr>
          <w:rFonts w:ascii="Arial" w:cs="Arial" w:eastAsia="Arial" w:hAnsi="Arial"/>
          <w:sz w:val="18"/>
          <w:szCs w:val="18"/>
          <w:color w:val="auto"/>
        </w:rPr>
        <w:t xml:space="preserve"> of the Parent Disclosure Letter shall have received a referral or commenced an investigation relating to the Transactions under Antitrust Law that remains pending.</w:t>
      </w:r>
    </w:p>
    <w:p>
      <w:pPr>
        <w:spacing w:after="0" w:line="192" w:lineRule="exact"/>
        <w:rPr>
          <w:rFonts w:ascii="Arial" w:cs="Arial" w:eastAsia="Arial" w:hAnsi="Arial"/>
          <w:sz w:val="18"/>
          <w:szCs w:val="18"/>
          <w:color w:val="auto"/>
        </w:rPr>
      </w:pPr>
    </w:p>
    <w:p>
      <w:pPr>
        <w:jc w:val="both"/>
        <w:ind w:right="40" w:firstLine="987"/>
        <w:spacing w:after="0" w:line="259" w:lineRule="auto"/>
        <w:tabs>
          <w:tab w:leader="none" w:pos="137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Legal Prohibition</w:t>
      </w:r>
      <w:r>
        <w:rPr>
          <w:rFonts w:ascii="Arial" w:cs="Arial" w:eastAsia="Arial" w:hAnsi="Arial"/>
          <w:sz w:val="18"/>
          <w:szCs w:val="18"/>
          <w:color w:val="auto"/>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w:t>
      </w:r>
    </w:p>
    <w:p>
      <w:pPr>
        <w:spacing w:after="0" w:line="186" w:lineRule="exact"/>
        <w:rPr>
          <w:rFonts w:ascii="Arial" w:cs="Arial" w:eastAsia="Arial" w:hAnsi="Arial"/>
          <w:sz w:val="18"/>
          <w:szCs w:val="18"/>
          <w:color w:val="auto"/>
        </w:rPr>
      </w:pPr>
    </w:p>
    <w:p>
      <w:pPr>
        <w:ind w:right="380" w:firstLine="987"/>
        <w:spacing w:after="0" w:line="277" w:lineRule="auto"/>
        <w:tabs>
          <w:tab w:leader="none" w:pos="135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Communications Approvals</w:t>
      </w:r>
      <w:r>
        <w:rPr>
          <w:rFonts w:ascii="Arial" w:cs="Arial" w:eastAsia="Arial" w:hAnsi="Arial"/>
          <w:sz w:val="18"/>
          <w:szCs w:val="18"/>
          <w:color w:val="auto"/>
        </w:rPr>
        <w:t>. Each Communications Approval shall have been obtained and shall be in full force and effect as of immediately prior to and upon the Effective Time.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40" w:top="274" w:right="499" w:bottom="1440" w:gutter="0" w:footer="0" w:header="0"/>
        </w:sectPr>
      </w:pPr>
    </w:p>
    <w:bookmarkStart w:id="80" w:name="page81"/>
    <w:bookmarkEnd w:id="80"/>
    <w:p>
      <w:pPr>
        <w:jc w:val="both"/>
        <w:ind w:left="4"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Arial" w:cs="Arial" w:eastAsia="Arial" w:hAnsi="Arial"/>
          <w:sz w:val="18"/>
          <w:szCs w:val="18"/>
          <w:u w:val="single" w:color="auto"/>
          <w:color w:val="auto"/>
        </w:rPr>
        <w:t>Conditions to Obligations of Parent</w:t>
      </w:r>
      <w:r>
        <w:rPr>
          <w:rFonts w:ascii="Arial" w:cs="Arial" w:eastAsia="Arial" w:hAnsi="Arial"/>
          <w:sz w:val="18"/>
          <w:szCs w:val="18"/>
          <w:color w:val="auto"/>
        </w:rPr>
        <w:t>. The obligations of Parent and Merger Sub to consummate the Merger shall be subject to the satisfaction on or prior to the Closing Date of each of the following conditions, any and all of which may be waived in whole or in part by Parent and Merger Sub, as the case may be, to the extent permitted by applicable Law:</w:t>
      </w:r>
    </w:p>
    <w:p>
      <w:pPr>
        <w:spacing w:after="0" w:line="184" w:lineRule="exact"/>
        <w:rPr>
          <w:sz w:val="20"/>
          <w:szCs w:val="20"/>
          <w:color w:val="auto"/>
        </w:rPr>
      </w:pPr>
    </w:p>
    <w:p>
      <w:pPr>
        <w:ind w:left="4" w:right="20" w:firstLine="987"/>
        <w:spacing w:after="0" w:line="284" w:lineRule="auto"/>
        <w:tabs>
          <w:tab w:leader="none" w:pos="1375"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the Company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(other than the last sentence of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3.25</w:t>
      </w:r>
      <w:r>
        <w:rPr>
          <w:rFonts w:ascii="Arial" w:cs="Arial" w:eastAsia="Arial" w:hAnsi="Arial"/>
          <w:sz w:val="16"/>
          <w:szCs w:val="16"/>
          <w:color w:val="auto"/>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not be true and correct in all material respects as of the Effective Time as though made on and as of the Effective Time (except representations and warranties that by their terms speak specifically as of another date, in which case as of such date);</w:t>
      </w:r>
    </w:p>
    <w:p>
      <w:pPr>
        <w:spacing w:after="0" w:line="2" w:lineRule="exact"/>
        <w:rPr>
          <w:rFonts w:ascii="Arial" w:cs="Arial" w:eastAsia="Arial" w:hAnsi="Arial"/>
          <w:sz w:val="16"/>
          <w:szCs w:val="16"/>
          <w:color w:val="auto"/>
        </w:rPr>
      </w:pPr>
    </w:p>
    <w:p>
      <w:pPr>
        <w:ind w:left="4" w:hanging="4"/>
        <w:spacing w:after="0" w:line="286" w:lineRule="auto"/>
        <w:tabs>
          <w:tab w:leader="none" w:pos="26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set forth in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3.2(e)</w:t>
      </w:r>
      <w:r>
        <w:rPr>
          <w:rFonts w:ascii="Arial" w:cs="Arial" w:eastAsia="Arial" w:hAnsi="Arial"/>
          <w:sz w:val="16"/>
          <w:szCs w:val="16"/>
          <w:color w:val="auto"/>
        </w:rPr>
        <w:t xml:space="preserve">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hereof and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not be true and correct as of the Effective Time as though made on and as of the Effective Time (except representations and warranties that by their terms speak specifically as of another date, in which case as of such date), except, with respect to this </w:t>
      </w:r>
      <w:r>
        <w:rPr>
          <w:rFonts w:ascii="Arial" w:cs="Arial" w:eastAsia="Arial" w:hAnsi="Arial"/>
          <w:sz w:val="16"/>
          <w:szCs w:val="16"/>
          <w:u w:val="single" w:color="auto"/>
          <w:color w:val="auto"/>
        </w:rPr>
        <w:t>clause (iv)</w:t>
      </w:r>
      <w:r>
        <w:rPr>
          <w:rFonts w:ascii="Arial" w:cs="Arial" w:eastAsia="Arial" w:hAnsi="Arial"/>
          <w:sz w:val="16"/>
          <w:szCs w:val="16"/>
          <w:color w:val="auto"/>
        </w:rPr>
        <w:t>,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w:t>
      </w:r>
    </w:p>
    <w:p>
      <w:pPr>
        <w:spacing w:after="0" w:line="169" w:lineRule="exact"/>
        <w:rPr>
          <w:rFonts w:ascii="Arial" w:cs="Arial" w:eastAsia="Arial" w:hAnsi="Arial"/>
          <w:sz w:val="16"/>
          <w:szCs w:val="16"/>
          <w:color w:val="auto"/>
        </w:rPr>
      </w:pPr>
    </w:p>
    <w:p>
      <w:pPr>
        <w:ind w:left="4" w:right="60" w:firstLine="987"/>
        <w:spacing w:after="0" w:line="308" w:lineRule="auto"/>
        <w:tabs>
          <w:tab w:leader="none" w:pos="1385"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The Company shall have performed and complied in all material respects with the obligations, covenants and agreements required to be performed or complied with by it under the Agreement at or prior to the Effective Time;</w:t>
      </w:r>
    </w:p>
    <w:p>
      <w:pPr>
        <w:spacing w:after="0" w:line="146" w:lineRule="exact"/>
        <w:rPr>
          <w:rFonts w:ascii="Arial" w:cs="Arial" w:eastAsia="Arial" w:hAnsi="Arial"/>
          <w:sz w:val="17"/>
          <w:szCs w:val="17"/>
          <w:color w:val="auto"/>
        </w:rPr>
      </w:pPr>
    </w:p>
    <w:p>
      <w:pPr>
        <w:ind w:left="4" w:right="740" w:firstLine="987"/>
        <w:spacing w:after="0" w:line="277" w:lineRule="auto"/>
        <w:tabs>
          <w:tab w:leader="none" w:pos="1375"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No Company Material Adverse Effect shall have occurred on or after the date of the Agreement and be continuing as of immediately prior to the Effective Time.</w:t>
      </w:r>
    </w:p>
    <w:p>
      <w:pPr>
        <w:spacing w:after="0" w:line="170" w:lineRule="exact"/>
        <w:rPr>
          <w:rFonts w:ascii="Arial" w:cs="Arial" w:eastAsia="Arial" w:hAnsi="Arial"/>
          <w:sz w:val="18"/>
          <w:szCs w:val="18"/>
          <w:color w:val="auto"/>
        </w:rPr>
      </w:pPr>
    </w:p>
    <w:p>
      <w:pPr>
        <w:ind w:left="4" w:right="360" w:firstLine="987"/>
        <w:spacing w:after="0" w:line="291" w:lineRule="auto"/>
        <w:tabs>
          <w:tab w:leader="none" w:pos="1385"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Company Officer Certificate</w:t>
      </w:r>
      <w:r>
        <w:rPr>
          <w:rFonts w:ascii="Arial" w:cs="Arial" w:eastAsia="Arial" w:hAnsi="Arial"/>
          <w:sz w:val="16"/>
          <w:szCs w:val="16"/>
          <w:color w:val="auto"/>
        </w:rPr>
        <w:t xml:space="preserve">. Parent and Merger Sub shall have received from the Company a certificate, dated as of the Closing Date and signed by its chief executive officer or chief financial officer, certifying to the effect that the conditions set forth in </w:t>
      </w:r>
      <w:r>
        <w:rPr>
          <w:rFonts w:ascii="Arial" w:cs="Arial" w:eastAsia="Arial" w:hAnsi="Arial"/>
          <w:sz w:val="16"/>
          <w:szCs w:val="16"/>
          <w:u w:val="single" w:color="auto"/>
          <w:color w:val="auto"/>
        </w:rPr>
        <w:t>clauses (a), (b)</w:t>
      </w:r>
      <w:r>
        <w:rPr>
          <w:rFonts w:ascii="Arial" w:cs="Arial" w:eastAsia="Arial" w:hAnsi="Arial"/>
          <w:sz w:val="16"/>
          <w:szCs w:val="16"/>
          <w:color w:val="auto"/>
        </w:rPr>
        <w:t xml:space="preserve"> and</w:t>
      </w:r>
    </w:p>
    <w:p>
      <w:pPr>
        <w:ind w:left="244" w:hanging="244"/>
        <w:spacing w:after="0"/>
        <w:tabs>
          <w:tab w:leader="none" w:pos="244" w:val="left"/>
        </w:tabs>
        <w:numPr>
          <w:ilvl w:val="0"/>
          <w:numId w:val="112"/>
        </w:numPr>
        <w:rPr>
          <w:rFonts w:ascii="Arial" w:cs="Arial" w:eastAsia="Arial" w:hAnsi="Arial"/>
          <w:sz w:val="18"/>
          <w:szCs w:val="18"/>
          <w:u w:val="single" w:color="auto"/>
          <w:color w:val="auto"/>
        </w:rPr>
      </w:pPr>
      <w:r>
        <w:rPr>
          <w:rFonts w:ascii="Arial" w:cs="Arial" w:eastAsia="Arial" w:hAnsi="Arial"/>
          <w:sz w:val="18"/>
          <w:szCs w:val="18"/>
          <w:color w:val="auto"/>
        </w:rPr>
        <w:t>immediately above have not occurred.</w:t>
      </w:r>
    </w:p>
    <w:p>
      <w:pPr>
        <w:spacing w:after="0" w:line="210" w:lineRule="exact"/>
        <w:rPr>
          <w:rFonts w:ascii="Arial" w:cs="Arial" w:eastAsia="Arial" w:hAnsi="Arial"/>
          <w:sz w:val="18"/>
          <w:szCs w:val="18"/>
          <w:u w:val="single" w:color="auto"/>
          <w:color w:val="auto"/>
        </w:rPr>
      </w:pPr>
    </w:p>
    <w:p>
      <w:pPr>
        <w:ind w:left="4" w:right="260" w:firstLine="987"/>
        <w:spacing w:after="0" w:line="308" w:lineRule="auto"/>
        <w:tabs>
          <w:tab w:leader="none" w:pos="1375"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Parent Tax Opinion</w:t>
      </w:r>
      <w:r>
        <w:rPr>
          <w:rFonts w:ascii="Arial" w:cs="Arial" w:eastAsia="Arial" w:hAnsi="Arial"/>
          <w:sz w:val="17"/>
          <w:szCs w:val="17"/>
          <w:color w:val="auto"/>
        </w:rPr>
        <w:t>. Parent shall have received a written opinion from Parent Counsel (or if Parent Counsel is unable or otherwise unwilling to issue such an opinion, from another nationally recognized law firm reasonably acceptable to Parent), in form and</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4" w:right="459" w:bottom="1440" w:gutter="0" w:footer="0" w:header="0"/>
        </w:sectPr>
      </w:pPr>
    </w:p>
    <w:bookmarkStart w:id="81" w:name="page82"/>
    <w:bookmarkEnd w:id="81"/>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substance reasonably satisfactory to Parent,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consummate the Merger shall be subject to the satisfaction on or prior to the Closing Date of each of the following conditions, any and all of which may be waived in whole or in part by the Company to the extent permitted by applicable Law:</w:t>
      </w:r>
    </w:p>
    <w:p>
      <w:pPr>
        <w:spacing w:after="0" w:line="184" w:lineRule="exact"/>
        <w:rPr>
          <w:sz w:val="20"/>
          <w:szCs w:val="20"/>
          <w:color w:val="auto"/>
        </w:rPr>
      </w:pPr>
    </w:p>
    <w:p>
      <w:pPr>
        <w:ind w:firstLine="987"/>
        <w:spacing w:after="0" w:line="285" w:lineRule="auto"/>
        <w:tabs>
          <w:tab w:leader="none" w:pos="1371"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Parent and Merger Sub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hereof and shall be true and correct other than for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inaccuracies as of the Effective Time as though made on and as of the Effective Time (except representations and warranties that by their terms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speak specifically as of another date, in which case as of such date); (iii) the representations and warranties of Parent and Merger Sub set forth in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be true and correct in all respects; and (iv) the other representations and warranties of Parent and Merger Sub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Arial" w:cs="Arial" w:eastAsia="Arial" w:hAnsi="Arial"/>
          <w:sz w:val="16"/>
          <w:szCs w:val="16"/>
          <w:u w:val="single" w:color="auto"/>
          <w:color w:val="auto"/>
        </w:rPr>
        <w:t>clause (iv)</w:t>
      </w:r>
      <w:r>
        <w:rPr>
          <w:rFonts w:ascii="Arial" w:cs="Arial" w:eastAsia="Arial" w:hAnsi="Arial"/>
          <w:sz w:val="16"/>
          <w:szCs w:val="16"/>
          <w:color w:val="auto"/>
        </w:rPr>
        <w:t>,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w:t>
      </w:r>
    </w:p>
    <w:p>
      <w:pPr>
        <w:spacing w:after="0" w:line="392" w:lineRule="exact"/>
        <w:rPr>
          <w:rFonts w:ascii="Arial" w:cs="Arial" w:eastAsia="Arial" w:hAnsi="Arial"/>
          <w:sz w:val="16"/>
          <w:szCs w:val="16"/>
          <w:color w:val="auto"/>
        </w:rPr>
      </w:pPr>
    </w:p>
    <w:p>
      <w:pPr>
        <w:ind w:right="20" w:firstLine="987"/>
        <w:spacing w:after="0" w:line="263" w:lineRule="auto"/>
        <w:tabs>
          <w:tab w:leader="none" w:pos="138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Each of Parent and Merger Sub shall have performed or complied in all material respects with the obligations, covenants and agreements required to be performed or complied with by it under the Agreement at or prior to the Effective Time.</w:t>
      </w:r>
    </w:p>
    <w:p>
      <w:pPr>
        <w:spacing w:after="0" w:line="183" w:lineRule="exact"/>
        <w:rPr>
          <w:rFonts w:ascii="Arial" w:cs="Arial" w:eastAsia="Arial" w:hAnsi="Arial"/>
          <w:sz w:val="18"/>
          <w:szCs w:val="18"/>
          <w:color w:val="auto"/>
        </w:rPr>
      </w:pPr>
    </w:p>
    <w:p>
      <w:pPr>
        <w:ind w:right="220" w:firstLine="987"/>
        <w:spacing w:after="0" w:line="257" w:lineRule="auto"/>
        <w:tabs>
          <w:tab w:leader="none" w:pos="137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Company Tax Opinion</w:t>
      </w:r>
      <w:r>
        <w:rPr>
          <w:rFonts w:ascii="Arial" w:cs="Arial" w:eastAsia="Arial" w:hAnsi="Arial"/>
          <w:sz w:val="18"/>
          <w:szCs w:val="18"/>
          <w:color w:val="auto"/>
        </w:rPr>
        <w:t>. The Company shall have received a written opinion from Company Counsel (or if Company Counsel is unable or otherwise unwilling to issue such an opinion, from another nationally recognized law firm reasonably acceptable to the Company), in form and substance reasonably satisfactory to the Company,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0"/>
          </w:cols>
          <w:pgMar w:left="440" w:top="274" w:right="519" w:bottom="1440" w:gutter="0" w:footer="0" w:header="0"/>
        </w:sectPr>
      </w:pPr>
    </w:p>
    <w:bookmarkStart w:id="82" w:name="page83"/>
    <w:bookmarkEnd w:id="8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the other Transactions may be abandoned at any time before the Effective Time, as follows (with any termination by Parent also being an effective termination by Merger Sub):</w:t>
      </w:r>
    </w:p>
    <w:p>
      <w:pPr>
        <w:spacing w:after="0" w:line="170" w:lineRule="exact"/>
        <w:rPr>
          <w:sz w:val="20"/>
          <w:szCs w:val="20"/>
          <w:color w:val="auto"/>
        </w:rPr>
      </w:pPr>
    </w:p>
    <w:p>
      <w:pPr>
        <w:ind w:left="1364" w:hanging="373"/>
        <w:spacing w:after="0"/>
        <w:tabs>
          <w:tab w:leader="none" w:pos="13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w:t>
      </w:r>
    </w:p>
    <w:p>
      <w:pPr>
        <w:spacing w:after="0" w:line="225" w:lineRule="exact"/>
        <w:rPr>
          <w:rFonts w:ascii="Arial" w:cs="Arial" w:eastAsia="Arial" w:hAnsi="Arial"/>
          <w:sz w:val="18"/>
          <w:szCs w:val="18"/>
          <w:color w:val="auto"/>
        </w:rPr>
      </w:pPr>
    </w:p>
    <w:p>
      <w:pPr>
        <w:ind w:left="4" w:firstLine="987"/>
        <w:spacing w:after="0" w:line="269" w:lineRule="auto"/>
        <w:tabs>
          <w:tab w:leader="none" w:pos="138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by the Company, in the event that (i) Parent or Merger Sub shall have breached, failed to perform or violated their respective covenants or agreements under this Agreement, which breach, failure to perform or violation would reasonably be expected to have a Parent Material Adverse Effect or (ii) any of the representations and warranties of Parent or Merger Sub set forth in this Agreement shall have become inaccurate, which inaccuracy (without giving effect to any qualification as to materiality or Parent Material Adverse Effect contained therein) would reasonably be expected to have a Parent Material Adverse Effect, and in each of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such breach, failure to perform, violation or inaccuracy is not capable of being cured by the Outside Date or, if capable of being cured by the Outside Date, is not cured by Parent or Merger Sub, as applicable, before the earlier of (x) the Business Day immediately prior to the Outside Date and (y) the thirtieth (30th) calendar day following receipt of written notice from the Company of such breach, failure to perform, violation or inaccuracy;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have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if the Company is then in material breach of this Agreement, which breach would give rise to the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or Section 7.2(c) to be satisfied;</w:t>
      </w:r>
    </w:p>
    <w:p>
      <w:pPr>
        <w:spacing w:after="0" w:line="185" w:lineRule="exact"/>
        <w:rPr>
          <w:rFonts w:ascii="Arial" w:cs="Arial" w:eastAsia="Arial" w:hAnsi="Arial"/>
          <w:sz w:val="17"/>
          <w:szCs w:val="17"/>
          <w:color w:val="auto"/>
        </w:rPr>
      </w:pPr>
    </w:p>
    <w:p>
      <w:pPr>
        <w:ind w:left="4" w:right="60" w:firstLine="987"/>
        <w:spacing w:after="0" w:line="271" w:lineRule="auto"/>
        <w:tabs>
          <w:tab w:leader="none" w:pos="137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by Parent, in the event that (i) the Company shall have breached, failed to perform or violated its covenants or agreements under this Agreement or (ii) any of the representations and warranties of the Company set forth in this Agreement shall have become inaccurate, in either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in a manner that would give rise to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and such breach, failure to perform, violation or inaccuracy is not capable of being cured by the Outside Date or, if capable of being cured by the Outside Date, is not cured by the Company before the earlier of (x) the Business Day immediately prior to the Outside Date and (y) the thirtieth (30th) calendar day following receipt of written notice from Parent of such breach, failure to perform, violation or inaccuracy;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shall not have the right to terminate this Agreement pursuant to this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if Parent or Merger Sub is then in material breach of this Agreement such that, even taking into account any cure period, the Company would have the right to terminate this Agreement pursuant to </w:t>
      </w:r>
      <w:r>
        <w:rPr>
          <w:rFonts w:ascii="Arial" w:cs="Arial" w:eastAsia="Arial" w:hAnsi="Arial"/>
          <w:sz w:val="17"/>
          <w:szCs w:val="17"/>
          <w:u w:val="single" w:color="auto"/>
          <w:color w:val="auto"/>
        </w:rPr>
        <w:t>Section 8.1(b)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384" w:hanging="393"/>
        <w:spacing w:after="0"/>
        <w:tabs>
          <w:tab w:leader="none" w:pos="138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by either Parent or the Company if the Closing has not occurred on or before January 16, 2022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if, on the Outside Date, all of the conditions to Closing, other than the conditions set forth in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(to the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4"/>
          </w:cols>
          <w:pgMar w:left="436" w:top="270" w:right="479" w:bottom="1440" w:gutter="0" w:footer="0" w:header="0"/>
        </w:sectPr>
      </w:pPr>
    </w:p>
    <w:bookmarkStart w:id="83" w:name="page84"/>
    <w:bookmarkEnd w:id="8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extent any such injunction or order is in respect of, or any such Law is, the HSR Act, any other Antitrust Law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of the Parent Disclosure Letter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or the Laws in respect of the Communications Approvals) or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by a period of three (3) months, which date shall thereafter be deemed to be the Outside Date, (y) if, on the Outside Date as so extended pursuant to clause (x) of this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all of the conditions to Closing, other than the conditions set forth in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(to the extent any such injunction or order is in respect of, or any such Law is, the HSR Act, any other Antitrust Law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of the Parent Disclosure Letter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or the Laws in respect of the Communications Approvals) or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by a period of three (3) additional months, which date shall thereafter be deemed to be the Outside Date, and (z) if, on the Outside Date as so extended pursuant to clause (y) of this </w:t>
      </w:r>
      <w:r>
        <w:rPr>
          <w:rFonts w:ascii="Arial" w:cs="Arial" w:eastAsia="Arial" w:hAnsi="Arial"/>
          <w:sz w:val="16"/>
          <w:szCs w:val="16"/>
          <w:u w:val="single" w:color="auto"/>
          <w:color w:val="auto"/>
        </w:rPr>
        <w:t>Section 8.1(d)</w:t>
      </w:r>
      <w:r>
        <w:rPr>
          <w:rFonts w:ascii="Arial" w:cs="Arial" w:eastAsia="Arial" w:hAnsi="Arial"/>
          <w:sz w:val="16"/>
          <w:szCs w:val="16"/>
          <w:color w:val="auto"/>
        </w:rPr>
        <w:t>, all of the conditions to Closing, other than the conditions set forth in</w:t>
      </w:r>
    </w:p>
    <w:p>
      <w:pPr>
        <w:spacing w:after="0" w:line="3"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Section 7.1(f)</w:t>
      </w:r>
      <w:r>
        <w:rPr>
          <w:rFonts w:ascii="Arial" w:cs="Arial" w:eastAsia="Arial" w:hAnsi="Arial"/>
          <w:sz w:val="17"/>
          <w:szCs w:val="17"/>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one (1) additional time for all purposes hereunder by a period of three (3) additional months, which date shall thereafter be deemed to be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the right to terminate this Agreement pursuant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8.1(d)</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available to any Party whose action or failure to fulfill any</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under this Agreement has been a proximate cause of, or directly resulted in, the failure of the Transactions to be consummated by the Outside Date and such action or failure to act constitutes a material breach of this Agreement;</w:t>
      </w:r>
    </w:p>
    <w:p>
      <w:pPr>
        <w:spacing w:after="0" w:line="178" w:lineRule="exact"/>
        <w:rPr>
          <w:sz w:val="20"/>
          <w:szCs w:val="20"/>
          <w:color w:val="auto"/>
        </w:rPr>
      </w:pPr>
    </w:p>
    <w:p>
      <w:pPr>
        <w:ind w:right="580" w:firstLine="987"/>
        <w:spacing w:after="0" w:line="277" w:lineRule="auto"/>
        <w:tabs>
          <w:tab w:leader="none" w:pos="137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by Parent, if, prior to obtaining the Company Stockholder Approval, (i) the Company Board of Directors shall have effected a Change of Recommendation or (ii) the Company has materially breached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0" w:firstLine="987"/>
        <w:spacing w:after="0" w:line="342" w:lineRule="auto"/>
        <w:tabs>
          <w:tab w:leader="none" w:pos="135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by either the Company or Parent if a Governmental Entity of competent jurisdiction shall have issued a final, non-appealable order, injunction, decree or ruling in each case permanently restraining, enjoining or otherwise prohibiting the consummation of the Transactions;</w:t>
      </w:r>
    </w:p>
    <w:p>
      <w:pPr>
        <w:spacing w:after="0" w:line="123" w:lineRule="exact"/>
        <w:rPr>
          <w:rFonts w:ascii="Arial" w:cs="Arial" w:eastAsia="Arial" w:hAnsi="Arial"/>
          <w:sz w:val="16"/>
          <w:szCs w:val="16"/>
          <w:color w:val="auto"/>
        </w:rPr>
      </w:pPr>
    </w:p>
    <w:p>
      <w:pPr>
        <w:ind w:right="200" w:firstLine="987"/>
        <w:spacing w:after="0" w:line="259" w:lineRule="auto"/>
        <w:tabs>
          <w:tab w:leader="none" w:pos="138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by the Company in order to effect a Change of Recommendation and concurrently enter into a definitive agreement providing for a Superior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Company has complied in all material respects with the terms of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and (ii) concurrently with or prior to (and as a condition to) the termination of this Agreement, the Company pays to Parent the Termination Fee payable pursuant to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or</w:t>
      </w:r>
    </w:p>
    <w:p>
      <w:pPr>
        <w:spacing w:after="0" w:line="186" w:lineRule="exact"/>
        <w:rPr>
          <w:rFonts w:ascii="Arial" w:cs="Arial" w:eastAsia="Arial" w:hAnsi="Arial"/>
          <w:sz w:val="18"/>
          <w:szCs w:val="18"/>
          <w:color w:val="auto"/>
        </w:rPr>
      </w:pPr>
    </w:p>
    <w:p>
      <w:pPr>
        <w:ind w:firstLine="987"/>
        <w:spacing w:after="0" w:line="277" w:lineRule="auto"/>
        <w:tabs>
          <w:tab w:leader="none" w:pos="138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either the Company or Parent, if the Company Stockholder Approval shall not have been obtained upon a vote taken thereon at the Company Stockholders Meeting duly convened therefor or at any adjournment or postponement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4" w:name="page85"/>
    <w:bookmarkEnd w:id="84"/>
    <w:p>
      <w:pPr>
        <w:ind w:left="444"/>
        <w:spacing w:after="0"/>
        <w:tabs>
          <w:tab w:leader="none" w:pos="14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71" w:lineRule="auto"/>
        <w:tabs>
          <w:tab w:leader="none" w:pos="1375"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In the event of the valid termination of this Agreement as provided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written notice thereof shall forthwith be given to the other Party or Parties specifying the provision hereof pursuant to which such termination is made, and this Agreement shall forthwith become null and void and there shall be no liability on the part of Parent, Merger Sub or the Company, except that the Confidentiality Agreement,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survive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relieve any Party from liability for fraud or willful breach of this Agreement prior to such termination. For purposes of this Agreement: (i) “</w:t>
      </w:r>
      <w:r>
        <w:rPr>
          <w:rFonts w:ascii="Arial" w:cs="Arial" w:eastAsia="Arial" w:hAnsi="Arial"/>
          <w:sz w:val="17"/>
          <w:szCs w:val="17"/>
          <w:u w:val="single" w:color="auto"/>
          <w:color w:val="auto"/>
        </w:rPr>
        <w:t>willful breach</w:t>
      </w:r>
      <w:r>
        <w:rPr>
          <w:rFonts w:ascii="Arial" w:cs="Arial" w:eastAsia="Arial" w:hAnsi="Arial"/>
          <w:sz w:val="17"/>
          <w:szCs w:val="17"/>
          <w:color w:val="auto"/>
        </w:rPr>
        <w:t>” shall mean an action or omission taken or omitted to be taken that the breaching Party intentionally takes (or fails to take) and actually knows would, or would reasonably be expected to, be or cause a material breach of this Agreement; and (ii) “</w:t>
      </w:r>
      <w:r>
        <w:rPr>
          <w:rFonts w:ascii="Arial" w:cs="Arial" w:eastAsia="Arial" w:hAnsi="Arial"/>
          <w:sz w:val="17"/>
          <w:szCs w:val="17"/>
          <w:u w:val="single" w:color="auto"/>
          <w:color w:val="auto"/>
        </w:rPr>
        <w:t>fraud</w:t>
      </w:r>
      <w:r>
        <w:rPr>
          <w:rFonts w:ascii="Arial" w:cs="Arial" w:eastAsia="Arial" w:hAnsi="Arial"/>
          <w:sz w:val="17"/>
          <w:szCs w:val="17"/>
          <w:color w:val="auto"/>
        </w:rPr>
        <w:t>” shall mean common law fraud under Delaware Law that is committed with actual knowledge of falsity and with the intent to deceive or mislead another.</w:t>
      </w:r>
    </w:p>
    <w:p>
      <w:pPr>
        <w:spacing w:after="0" w:line="286" w:lineRule="exact"/>
        <w:rPr>
          <w:rFonts w:ascii="Arial" w:cs="Arial" w:eastAsia="Arial" w:hAnsi="Arial"/>
          <w:sz w:val="17"/>
          <w:szCs w:val="17"/>
          <w:color w:val="auto"/>
        </w:rPr>
      </w:pPr>
    </w:p>
    <w:p>
      <w:pPr>
        <w:ind w:left="1384" w:hanging="393"/>
        <w:spacing w:after="0"/>
        <w:tabs>
          <w:tab w:leader="none" w:pos="1384"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 Fee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1428"/>
        <w:spacing w:after="0" w:line="284" w:lineRule="auto"/>
        <w:tabs>
          <w:tab w:leader="none" w:pos="1786" w:val="left"/>
        </w:tabs>
        <w:numPr>
          <w:ilvl w:val="2"/>
          <w:numId w:val="117"/>
        </w:numPr>
        <w:rPr>
          <w:rFonts w:ascii="Arial" w:cs="Arial" w:eastAsia="Arial" w:hAnsi="Arial"/>
          <w:sz w:val="16"/>
          <w:szCs w:val="16"/>
          <w:color w:val="auto"/>
        </w:rPr>
      </w:pPr>
      <w:r>
        <w:rPr>
          <w:rFonts w:ascii="Arial" w:cs="Arial" w:eastAsia="Arial" w:hAnsi="Arial"/>
          <w:sz w:val="16"/>
          <w:szCs w:val="16"/>
          <w:color w:val="auto"/>
        </w:rPr>
        <w:t xml:space="preserve">If (A) (x) Parent terminates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(y) the Company terminates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and at such time Parent would be permitted to terminate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or (z) Parent terminates this Agreement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as a result of a breach, failure to perform or violation described in such Section that (except with respect to a breach of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first occurred following the making of an Acquisition Proposal of the type referenced in the following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 after the date hereof and prior to the date of such termination (except in the case of termination pursuant to Section 8.1(g), in which case prior to the Company Stockholder Approval being obtained)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is publicly disclosed (whether by the Company or a third party), or otherwise made known to the Company Board of Directors or Company management, and in each case, is not withdrawn (publicly, if publicly disclosed) at least three (3) Business Days prior to the earlier of the date of the Company Stockholders Meeting and the date of such termination and (C) within twelve</w:t>
      </w:r>
    </w:p>
    <w:p>
      <w:pPr>
        <w:ind w:left="4" w:hanging="4"/>
        <w:spacing w:after="0" w:line="281" w:lineRule="auto"/>
        <w:tabs>
          <w:tab w:leader="none" w:pos="3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months of such termination, an Acquisition Proposal is consummated or a definitive agreement in respect of an Acquisition Proposal is entered into, then on or prior to the date that is the earlier of (1) the date any such Acquisition Proposal is consummated and (2) the date of entry in any such definitive agreement, the Company shall pay to Parent a fee of $450,000,000 in cash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Solely for purposes of this </w:t>
      </w:r>
      <w:r>
        <w:rPr>
          <w:rFonts w:ascii="Arial" w:cs="Arial" w:eastAsia="Arial" w:hAnsi="Arial"/>
          <w:sz w:val="16"/>
          <w:szCs w:val="16"/>
          <w:u w:val="single" w:color="auto"/>
          <w:color w:val="auto"/>
        </w:rPr>
        <w:t>Section 8.2(b)</w:t>
      </w:r>
    </w:p>
    <w:p>
      <w:pPr>
        <w:spacing w:after="0" w:line="1" w:lineRule="exact"/>
        <w:rPr>
          <w:rFonts w:ascii="Arial" w:cs="Arial" w:eastAsia="Arial" w:hAnsi="Arial"/>
          <w:sz w:val="16"/>
          <w:szCs w:val="16"/>
          <w:color w:val="auto"/>
        </w:rPr>
      </w:pPr>
    </w:p>
    <w:p>
      <w:pPr>
        <w:ind w:left="4" w:right="1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the term “Acquisition Proposal” shall have the meaning assigned to such term in </w:t>
      </w:r>
      <w:r>
        <w:rPr>
          <w:rFonts w:ascii="Arial" w:cs="Arial" w:eastAsia="Arial" w:hAnsi="Arial"/>
          <w:sz w:val="18"/>
          <w:szCs w:val="18"/>
          <w:u w:val="single" w:color="auto"/>
          <w:color w:val="auto"/>
        </w:rPr>
        <w:t>Annex A</w:t>
      </w:r>
      <w:r>
        <w:rPr>
          <w:rFonts w:ascii="Arial" w:cs="Arial" w:eastAsia="Arial" w:hAnsi="Arial"/>
          <w:sz w:val="18"/>
          <w:szCs w:val="18"/>
          <w:color w:val="auto"/>
        </w:rPr>
        <w:t>, except that all references to “fifteen percent (15%)” and “eighty five percent (85%)” therein shall be deemed to be references to “fifty percent (50%).”</w:t>
      </w:r>
    </w:p>
    <w:p>
      <w:pPr>
        <w:spacing w:after="0" w:line="185" w:lineRule="exact"/>
        <w:rPr>
          <w:rFonts w:ascii="Arial" w:cs="Arial" w:eastAsia="Arial" w:hAnsi="Arial"/>
          <w:sz w:val="16"/>
          <w:szCs w:val="16"/>
          <w:color w:val="auto"/>
        </w:rPr>
      </w:pPr>
    </w:p>
    <w:p>
      <w:pPr>
        <w:ind w:left="4" w:firstLine="1428"/>
        <w:spacing w:after="0" w:line="263" w:lineRule="auto"/>
        <w:tabs>
          <w:tab w:leader="none" w:pos="1836" w:val="left"/>
        </w:tabs>
        <w:numPr>
          <w:ilvl w:val="2"/>
          <w:numId w:val="118"/>
        </w:numPr>
        <w:rPr>
          <w:rFonts w:ascii="Arial" w:cs="Arial" w:eastAsia="Arial" w:hAnsi="Arial"/>
          <w:sz w:val="18"/>
          <w:szCs w:val="18"/>
          <w:color w:val="auto"/>
        </w:rPr>
      </w:pPr>
      <w:r>
        <w:rPr>
          <w:rFonts w:ascii="Arial" w:cs="Arial" w:eastAsia="Arial" w:hAnsi="Arial"/>
          <w:sz w:val="18"/>
          <w:szCs w:val="18"/>
          <w:color w:val="auto"/>
        </w:rPr>
        <w:t xml:space="preserve">If (A) Parent terminates this Agreement pursuant to </w:t>
      </w:r>
      <w:r>
        <w:rPr>
          <w:rFonts w:ascii="Arial" w:cs="Arial" w:eastAsia="Arial" w:hAnsi="Arial"/>
          <w:sz w:val="18"/>
          <w:szCs w:val="18"/>
          <w:u w:val="single" w:color="auto"/>
          <w:color w:val="auto"/>
        </w:rPr>
        <w:t>Section 8.1(e)(i)</w:t>
      </w:r>
      <w:r>
        <w:rPr>
          <w:rFonts w:ascii="Arial" w:cs="Arial" w:eastAsia="Arial" w:hAnsi="Arial"/>
          <w:sz w:val="18"/>
          <w:szCs w:val="18"/>
          <w:color w:val="auto"/>
        </w:rPr>
        <w:t xml:space="preserve"> or (B) the Company terminates this Agreement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at a time when Parent would be permitted to terminate this Agreement pursuant to </w:t>
      </w:r>
      <w:r>
        <w:rPr>
          <w:rFonts w:ascii="Arial" w:cs="Arial" w:eastAsia="Arial" w:hAnsi="Arial"/>
          <w:sz w:val="18"/>
          <w:szCs w:val="18"/>
          <w:u w:val="single" w:color="auto"/>
          <w:color w:val="auto"/>
        </w:rPr>
        <w:t>Section 8.1(e)(i)</w:t>
      </w:r>
      <w:r>
        <w:rPr>
          <w:rFonts w:ascii="Arial" w:cs="Arial" w:eastAsia="Arial" w:hAnsi="Arial"/>
          <w:sz w:val="18"/>
          <w:szCs w:val="18"/>
          <w:color w:val="auto"/>
        </w:rPr>
        <w:t>, then, within two (2) Business Days after such termination, the Company shall pay to Parent the Termination Fee.</w:t>
      </w:r>
    </w:p>
    <w:p>
      <w:pPr>
        <w:spacing w:after="0" w:line="183" w:lineRule="exact"/>
        <w:rPr>
          <w:rFonts w:ascii="Arial" w:cs="Arial" w:eastAsia="Arial" w:hAnsi="Arial"/>
          <w:sz w:val="18"/>
          <w:szCs w:val="18"/>
          <w:color w:val="auto"/>
        </w:rPr>
      </w:pPr>
    </w:p>
    <w:p>
      <w:pPr>
        <w:ind w:left="4" w:right="340" w:firstLine="1428"/>
        <w:spacing w:after="0" w:line="277" w:lineRule="auto"/>
        <w:tabs>
          <w:tab w:leader="none" w:pos="1886" w:val="left"/>
        </w:tabs>
        <w:numPr>
          <w:ilvl w:val="2"/>
          <w:numId w:val="118"/>
        </w:numPr>
        <w:rPr>
          <w:rFonts w:ascii="Arial" w:cs="Arial" w:eastAsia="Arial" w:hAnsi="Arial"/>
          <w:sz w:val="18"/>
          <w:szCs w:val="18"/>
          <w:color w:val="auto"/>
        </w:rPr>
      </w:pPr>
      <w:r>
        <w:rPr>
          <w:rFonts w:ascii="Arial" w:cs="Arial" w:eastAsia="Arial" w:hAnsi="Arial"/>
          <w:sz w:val="18"/>
          <w:szCs w:val="18"/>
          <w:color w:val="auto"/>
        </w:rPr>
        <w:t xml:space="preserve">If the Company terminates this Agreement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concurrently with or prior to (and as a condition to) such termination, the Company shall pay to Parent the Termination Fee.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85" w:name="page86"/>
    <w:bookmarkEnd w:id="85"/>
    <w:p>
      <w:pPr>
        <w:ind w:left="-40" w:right="200" w:firstLine="1428"/>
        <w:spacing w:after="0" w:line="257" w:lineRule="auto"/>
        <w:tabs>
          <w:tab w:leader="none" w:pos="1832" w:val="left"/>
        </w:tabs>
        <w:numPr>
          <w:ilvl w:val="1"/>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any amount is payable by the Company pursuant to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such amount shall be paid by wire transfer of immediately available funds to an account designated in writing by Parent (which account shall be designated by Parent upon written request by the Company to allow the Company to pay or cause to be paid to Parent any amounts payable hereunder within the time periods required by this </w:t>
      </w:r>
      <w:r>
        <w:rPr>
          <w:rFonts w:ascii="Arial" w:cs="Arial" w:eastAsia="Arial" w:hAnsi="Arial"/>
          <w:sz w:val="18"/>
          <w:szCs w:val="18"/>
          <w:u w:val="single" w:color="auto"/>
          <w:color w:val="auto"/>
        </w:rPr>
        <w:t>Section 8.2</w:t>
      </w:r>
      <w:r>
        <w:rPr>
          <w:rFonts w:ascii="Arial" w:cs="Arial" w:eastAsia="Arial" w:hAnsi="Arial"/>
          <w:sz w:val="18"/>
          <w:szCs w:val="18"/>
          <w:color w:val="auto"/>
        </w:rPr>
        <w:t>). Notwithstanding anything to the contrary in this Agreement, in no event shall the Company be obligated to pay the Termination Fee on more than one occasion.</w:t>
      </w:r>
    </w:p>
    <w:p>
      <w:pPr>
        <w:spacing w:after="0" w:line="187" w:lineRule="exact"/>
        <w:rPr>
          <w:rFonts w:ascii="Arial" w:cs="Arial" w:eastAsia="Arial" w:hAnsi="Arial"/>
          <w:sz w:val="18"/>
          <w:szCs w:val="18"/>
          <w:color w:val="auto"/>
        </w:rPr>
      </w:pPr>
    </w:p>
    <w:p>
      <w:pPr>
        <w:ind w:left="-40" w:firstLine="987"/>
        <w:spacing w:after="0" w:line="284" w:lineRule="auto"/>
        <w:tabs>
          <w:tab w:leader="none" w:pos="133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Each Party acknowledges that the agreements contained in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are an integral part of the Transactions and that, without these agreements, the Parties hereto would not enter into this Agreement. Each Party further acknowledges that the Termination Fee is not a penalty, but rather is liquidated damages in a reasonable amount that will compensate Parent and Merger Sub in the circumstances in which the Termination Fee is payable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then (i) the Company shall reimburse Parent for all reasonable out-of-pocket costs and expenses (including disbursements and fees of outside legal counsel) incurred in the collection of such overdue amounts, including in connection with any related claims, actions or proceedings commenced and (ii) the Company shall pay to Parent interest on the amounts payable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from and including the date payment of such amounts were due but excluding the date of actual payment at the prime rate set forth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in effect on the date such payment was required to be made. Notwithstanding anything to the contrary in this Agreement, except for the right to seek monetary damages for fraud (solely as it relates to the representations and warranties expressly made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willful breach occurring prior to the valid termination of this Agreement, and without limiting Parent’s or Merger Sub’s right to specific performance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 the Termination Fee (and any other amounts expressly contemplated by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if any) shall be the sole and exclusive monetary remedy available to Parent and Merger Sub in connection with this Agreement and the Transactions in any circumstance in which the Termination Fee becomes due and payable and is paid by the Company in accordance with this Agreement, and (B) upon Parent’s receipt of the full Termination Fee (and any other amounts contemplated by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if any)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in circumstances in which the Termination Fee is payable, none of the Company, any Company Subsidiary or any of their respective former, current or future officers, directors, partners, stockholders, managers, members, affiliates or agents shall have any further liability or obligation relating to or arising out of this Agreement or the Transactions. For the avoidance of doubt, Parent may seek specific performance to cause the Company to consummate the Transactions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or the payment of the Termination Fee pursuant to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but in no event shall Parent be entitled to both (i) specific performance to cause the Company to consummate the Transactions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and (ii) the payment of the Termination Fee pursuant to this </w:t>
      </w:r>
      <w:r>
        <w:rPr>
          <w:rFonts w:ascii="Arial" w:cs="Arial" w:eastAsia="Arial" w:hAnsi="Arial"/>
          <w:sz w:val="16"/>
          <w:szCs w:val="16"/>
          <w:u w:val="single" w:color="auto"/>
          <w:color w:val="auto"/>
        </w:rPr>
        <w:t>Section 8.2(c)</w:t>
      </w:r>
      <w:r>
        <w:rPr>
          <w:rFonts w:ascii="Arial" w:cs="Arial" w:eastAsia="Arial" w:hAnsi="Arial"/>
          <w:sz w:val="16"/>
          <w:szCs w:val="16"/>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20"/>
          </w:cols>
          <w:pgMar w:left="480" w:top="274" w:right="49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Amendment and Modification; Waiver</w:t>
      </w:r>
      <w:r>
        <w:rPr>
          <w:rFonts w:ascii="Arial" w:cs="Arial" w:eastAsia="Arial" w:hAnsi="Arial"/>
          <w:sz w:val="16"/>
          <w:szCs w:val="16"/>
          <w:color w:val="auto"/>
        </w:rPr>
        <w:t>.</w:t>
      </w:r>
    </w:p>
    <w:p>
      <w:pPr>
        <w:spacing w:after="0" w:line="117" w:lineRule="exact"/>
        <w:rPr>
          <w:sz w:val="20"/>
          <w:szCs w:val="20"/>
          <w:color w:val="auto"/>
        </w:rPr>
      </w:pPr>
    </w:p>
    <w:p>
      <w:pPr>
        <w:ind w:right="480" w:firstLine="987"/>
        <w:spacing w:after="0" w:line="277" w:lineRule="auto"/>
        <w:tabs>
          <w:tab w:leader="none" w:pos="137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applicable Law and except as otherwise provided in this Agreement, this Agreement may be amended, modified and supplemented by written agreement of each of the Parties.</w:t>
      </w:r>
    </w:p>
    <w:p>
      <w:pPr>
        <w:spacing w:after="0" w:line="170" w:lineRule="exact"/>
        <w:rPr>
          <w:rFonts w:ascii="Arial" w:cs="Arial" w:eastAsia="Arial" w:hAnsi="Arial"/>
          <w:sz w:val="18"/>
          <w:szCs w:val="18"/>
          <w:color w:val="auto"/>
        </w:rPr>
      </w:pPr>
    </w:p>
    <w:p>
      <w:pPr>
        <w:ind w:firstLine="987"/>
        <w:spacing w:after="0" w:line="254" w:lineRule="auto"/>
        <w:tabs>
          <w:tab w:leader="none" w:pos="137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any time and from time to time prior to the Effective Time, either the Company, on the one hand, or Parent and Merger Sub, on the other hand, may, to the extent legally allowed and except as otherwise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Merger Sub or the Company to any such extension or waiver shall be valid only if set forth in an instrument in writing signed on behalf of Parent or the Company, as applicable. No failure or delay by the Company, Parent or Merger Sub in exercising any right hereunder shall operate as a waiver thereof nor shall any single or partial exercise thereof preclude any other or further exercise of any other right hereunder.</w:t>
      </w:r>
    </w:p>
    <w:p>
      <w:pPr>
        <w:spacing w:after="0" w:line="19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this Agreement or in any schedule, instrument or other document delivered pursuant to this Agreement shall survive the Effective Time.</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all costs and expenses incurred in connection with this Agreement and the Transactions shall be paid by the Party incurring such costs and expenses.</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(notice deemed given upon receipt), by electronic mail (notice deemed given upon transmission;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electronic mail received after 6:00 p.m. Pacific Time shall be deemed received on the day following the date of transmission,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there is no return error message or other notification of non-delivery received by the sender) or sent by a nationally recognized overnight courier service, such as Federal Express (notice deemed given upon receipt of proof of delivery), to the Parties at the following addresses (or at such other address for a Party as shall be specified by like notice):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Zoom Video Communications, Inc.</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Jeff.True@zoom.us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Jeff True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0" w:right="45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Cooley LLP</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Embarcadero Center,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jleigh@cooley.com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bbeerle@cooley.com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alieberman@cooley.com</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Jamie Leigh</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Ben Beerle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Anne Lieberman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kimberly.lytikainen@five9.com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james.doran@five9.com</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Kimberly Lytikainen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James Doran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tad.freese@lw.com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mark.bekheit@lw.com</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Tad J. Freese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Mark M. Bekheit</w:t>
      </w:r>
    </w:p>
    <w:p>
      <w:pPr>
        <w:spacing w:after="0" w:line="21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date set forth in the preamble to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440" w:top="274" w:right="479" w:bottom="1440" w:gutter="0" w:footer="0" w:header="0"/>
        </w:sectPr>
      </w:pPr>
    </w:p>
    <w:bookmarkStart w:id="88" w:name="page89"/>
    <w:bookmarkEnd w:id="8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6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or HelloSign format shall be sufficient to bind the Parties to the terms and conditions of this Agreement.</w:t>
      </w:r>
    </w:p>
    <w:p>
      <w:pPr>
        <w:spacing w:after="0" w:line="26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6"/>
          <w:szCs w:val="16"/>
          <w:u w:val="single" w:color="auto"/>
          <w:color w:val="auto"/>
        </w:rPr>
        <w:t>Entire Agreement; Third-Party Beneficiaries</w:t>
      </w:r>
      <w:r>
        <w:rPr>
          <w:rFonts w:ascii="Arial" w:cs="Arial" w:eastAsia="Arial" w:hAnsi="Arial"/>
          <w:sz w:val="16"/>
          <w:szCs w:val="16"/>
          <w:color w:val="auto"/>
        </w:rPr>
        <w:t>.</w:t>
      </w:r>
    </w:p>
    <w:p>
      <w:pPr>
        <w:spacing w:after="0" w:line="117" w:lineRule="exact"/>
        <w:rPr>
          <w:sz w:val="20"/>
          <w:szCs w:val="20"/>
          <w:color w:val="auto"/>
        </w:rPr>
      </w:pPr>
    </w:p>
    <w:p>
      <w:pPr>
        <w:ind w:right="100" w:firstLine="987"/>
        <w:spacing w:after="0" w:line="275" w:lineRule="auto"/>
        <w:tabs>
          <w:tab w:leader="none" w:pos="136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 w:cs="Arial" w:eastAsia="Arial" w:hAnsi="Arial"/>
          <w:sz w:val="17"/>
          <w:szCs w:val="17"/>
          <w:u w:val="single" w:color="auto"/>
          <w:color w:val="auto"/>
        </w:rPr>
        <w:t>Section 8.1</w:t>
      </w:r>
      <w:r>
        <w:rPr>
          <w:rFonts w:ascii="Arial" w:cs="Arial" w:eastAsia="Arial" w:hAnsi="Arial"/>
          <w:sz w:val="17"/>
          <w:szCs w:val="17"/>
          <w:color w:val="auto"/>
        </w:rPr>
        <w:t>, Parent and Merger Sub shall be permitted to take the actions contemplated by this Agreement) and understandings, both written and oral, among the Parties or any of them with respect to the subject matter hereof and thereof.</w:t>
      </w:r>
    </w:p>
    <w:p>
      <w:pPr>
        <w:spacing w:after="0" w:line="176" w:lineRule="exact"/>
        <w:rPr>
          <w:rFonts w:ascii="Arial" w:cs="Arial" w:eastAsia="Arial" w:hAnsi="Arial"/>
          <w:sz w:val="17"/>
          <w:szCs w:val="17"/>
          <w:color w:val="auto"/>
        </w:rPr>
      </w:pPr>
    </w:p>
    <w:p>
      <w:pPr>
        <w:ind w:right="220" w:firstLine="987"/>
        <w:spacing w:after="0" w:line="263" w:lineRule="auto"/>
        <w:tabs>
          <w:tab w:leader="none" w:pos="138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nothing in this Agreement (including the Company Disclosure Letter and the Parent Disclosure Letter) or in the Confidentiality Agreement, express or implied, is intended to confer upon any Person other than the Parties any rights or remedies hereunder or thereunder.</w:t>
      </w:r>
    </w:p>
    <w:p>
      <w:pPr>
        <w:spacing w:after="0" w:line="184"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 are fulfilled to the extent possible.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440" w:top="274" w:right="499" w:bottom="1440" w:gutter="0" w:footer="0" w:header="0"/>
        </w:sectPr>
      </w:pPr>
    </w:p>
    <w:bookmarkStart w:id="89" w:name="page90"/>
    <w:bookmarkEnd w:id="89"/>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9.9.</w:t>
      </w:r>
      <w:r>
        <w:rPr>
          <w:sz w:val="20"/>
          <w:szCs w:val="20"/>
          <w:color w:val="auto"/>
        </w:rPr>
        <w:tab/>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w:t>
      </w:r>
    </w:p>
    <w:p>
      <w:pPr>
        <w:spacing w:after="0" w:line="117" w:lineRule="exact"/>
        <w:rPr>
          <w:sz w:val="20"/>
          <w:szCs w:val="20"/>
          <w:color w:val="auto"/>
        </w:rPr>
      </w:pPr>
    </w:p>
    <w:p>
      <w:pPr>
        <w:ind w:right="120" w:firstLine="987"/>
        <w:spacing w:after="0" w:line="277" w:lineRule="auto"/>
        <w:tabs>
          <w:tab w:leader="none" w:pos="13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conflicts of Laws principles that would result in the application of the Law of any other state.</w:t>
      </w:r>
    </w:p>
    <w:p>
      <w:pPr>
        <w:spacing w:after="0" w:line="170" w:lineRule="exact"/>
        <w:rPr>
          <w:rFonts w:ascii="Arial" w:cs="Arial" w:eastAsia="Arial" w:hAnsi="Arial"/>
          <w:sz w:val="18"/>
          <w:szCs w:val="18"/>
          <w:color w:val="auto"/>
        </w:rPr>
      </w:pPr>
    </w:p>
    <w:p>
      <w:pPr>
        <w:ind w:firstLine="987"/>
        <w:spacing w:after="0" w:line="286" w:lineRule="auto"/>
        <w:tabs>
          <w:tab w:leader="none" w:pos="138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Arial" w:cs="Arial" w:eastAsia="Arial" w:hAnsi="Arial"/>
          <w:sz w:val="16"/>
          <w:szCs w:val="16"/>
          <w:u w:val="single" w:color="auto"/>
          <w:color w:val="auto"/>
        </w:rPr>
        <w:t>Section 9.9(b)</w:t>
      </w:r>
      <w:r>
        <w:rPr>
          <w:rFonts w:ascii="Arial" w:cs="Arial" w:eastAsia="Arial" w:hAnsi="Arial"/>
          <w:sz w:val="16"/>
          <w:szCs w:val="16"/>
          <w:color w:val="auto"/>
        </w:rPr>
        <w:t xml:space="preserve"> in the manner provided for notices in </w:t>
      </w:r>
      <w:r>
        <w:rPr>
          <w:rFonts w:ascii="Arial" w:cs="Arial" w:eastAsia="Arial" w:hAnsi="Arial"/>
          <w:sz w:val="16"/>
          <w:szCs w:val="16"/>
          <w:u w:val="single" w:color="auto"/>
          <w:color w:val="auto"/>
        </w:rPr>
        <w:t>Section 9.4</w:t>
      </w:r>
      <w:r>
        <w:rPr>
          <w:rFonts w:ascii="Arial" w:cs="Arial" w:eastAsia="Arial" w:hAnsi="Arial"/>
          <w:sz w:val="16"/>
          <w:szCs w:val="16"/>
          <w:color w:val="auto"/>
        </w:rPr>
        <w:t>. Nothing in this Agreement will affect the right of any Party to this Agreement to serve process in any other manner permitted by applicable Law.</w:t>
      </w:r>
    </w:p>
    <w:p>
      <w:pPr>
        <w:spacing w:after="0" w:line="167" w:lineRule="exact"/>
        <w:rPr>
          <w:sz w:val="20"/>
          <w:szCs w:val="20"/>
          <w:color w:val="auto"/>
        </w:rPr>
      </w:pPr>
    </w:p>
    <w:p>
      <w:pPr>
        <w:ind w:right="120" w:firstLine="440"/>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96"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not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assigns.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90" w:name="page91"/>
    <w:bookmarkEnd w:id="90"/>
    <w:p>
      <w:pPr>
        <w:ind w:left="340"/>
        <w:spacing w:after="0"/>
        <w:tabs>
          <w:tab w:leader="none" w:pos="1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9.12.</w:t>
      </w:r>
      <w:r>
        <w:rPr>
          <w:sz w:val="20"/>
          <w:szCs w:val="20"/>
          <w:color w:val="auto"/>
        </w:rPr>
        <w:tab/>
      </w:r>
      <w:r>
        <w:rPr>
          <w:rFonts w:ascii="Arial" w:cs="Arial" w:eastAsia="Arial" w:hAnsi="Arial"/>
          <w:sz w:val="16"/>
          <w:szCs w:val="16"/>
          <w:u w:val="single" w:color="auto"/>
          <w:color w:val="auto"/>
        </w:rPr>
        <w:t>Enforcement; Remedies</w:t>
      </w:r>
      <w:r>
        <w:rPr>
          <w:rFonts w:ascii="Arial" w:cs="Arial" w:eastAsia="Arial" w:hAnsi="Arial"/>
          <w:sz w:val="16"/>
          <w:szCs w:val="16"/>
          <w:color w:val="auto"/>
        </w:rPr>
        <w:t>.</w:t>
      </w:r>
    </w:p>
    <w:p>
      <w:pPr>
        <w:spacing w:after="0" w:line="117" w:lineRule="exact"/>
        <w:rPr>
          <w:sz w:val="20"/>
          <w:szCs w:val="20"/>
          <w:color w:val="auto"/>
        </w:rPr>
      </w:pPr>
    </w:p>
    <w:p>
      <w:pPr>
        <w:ind w:left="-100" w:right="160" w:firstLine="987"/>
        <w:spacing w:after="0" w:line="263" w:lineRule="auto"/>
        <w:tabs>
          <w:tab w:leader="none" w:pos="127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83" w:lineRule="exact"/>
        <w:rPr>
          <w:rFonts w:ascii="Arial" w:cs="Arial" w:eastAsia="Arial" w:hAnsi="Arial"/>
          <w:sz w:val="18"/>
          <w:szCs w:val="18"/>
          <w:color w:val="auto"/>
        </w:rPr>
      </w:pPr>
    </w:p>
    <w:p>
      <w:pPr>
        <w:ind w:left="-100" w:right="60" w:firstLine="987"/>
        <w:spacing w:after="0" w:line="254" w:lineRule="auto"/>
        <w:tabs>
          <w:tab w:leader="none" w:pos="12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 or the other Transactions) is not performed in accordance with its specific terms or is otherwise breached. Accordingly, it is agreed that each Party shall be entitled to seek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Arial" w:cs="Arial" w:eastAsia="Arial" w:hAnsi="Arial"/>
          <w:sz w:val="18"/>
          <w:szCs w:val="18"/>
          <w:u w:val="single" w:color="auto"/>
          <w:color w:val="auto"/>
        </w:rPr>
        <w:t>Section 9.9</w:t>
      </w:r>
      <w:r>
        <w:rPr>
          <w:rFonts w:ascii="Arial" w:cs="Arial" w:eastAsia="Arial" w:hAnsi="Arial"/>
          <w:sz w:val="18"/>
          <w:szCs w:val="18"/>
          <w:color w:val="auto"/>
        </w:rPr>
        <w:t>, this being in addition to any other remedy to which such Party entitled under the terms of this Agreement at law or in equity.</w:t>
      </w:r>
    </w:p>
    <w:p>
      <w:pPr>
        <w:spacing w:after="0" w:line="194" w:lineRule="exact"/>
        <w:rPr>
          <w:rFonts w:ascii="Arial" w:cs="Arial" w:eastAsia="Arial" w:hAnsi="Arial"/>
          <w:sz w:val="18"/>
          <w:szCs w:val="18"/>
          <w:color w:val="auto"/>
        </w:rPr>
      </w:pPr>
    </w:p>
    <w:p>
      <w:pPr>
        <w:ind w:left="-100" w:firstLine="987"/>
        <w:spacing w:after="0" w:line="296" w:lineRule="auto"/>
        <w:tabs>
          <w:tab w:leader="none" w:pos="126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Parties’ rights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are an integral part of the Transactions and each Party hereby waives any objections to any remedy referred to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such Party shall not be required to obtain, furnish, post or provide any bond or other security in connection with or as a condition to obtaining any such remedy.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820"/>
          </w:cols>
          <w:pgMar w:left="540" w:top="274" w:right="539" w:bottom="1440" w:gutter="0" w:footer="0" w:header="0"/>
        </w:sectPr>
      </w:pPr>
    </w:p>
    <w:bookmarkStart w:id="91" w:name="page92"/>
    <w:bookmarkEnd w:id="9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Parent, Merger Sub and the Company have caused this Agreement to be signed by their respective officers thereunto duly authorized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Eric S. Yuan</w:t>
      </w:r>
    </w:p>
    <w:p>
      <w:pPr>
        <w:spacing w:after="0" w:line="23"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Title:</w:t>
        <w:tab/>
        <w:t>Founder &amp;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SUMMER MERGER SUB,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Kelly Steckelberg</w:t>
      </w:r>
    </w:p>
    <w:p>
      <w:pPr>
        <w:spacing w:after="0" w:line="23"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Title:</w:t>
        <w:tab/>
        <w:t>Chief Executive Officer and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FIVE9,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Rowan Trollope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Rowan Trollope</w:t>
      </w:r>
    </w:p>
    <w:p>
      <w:pPr>
        <w:spacing w:after="0" w:line="23"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820"/>
          </w:cols>
          <w:pgMar w:left="440" w:top="274" w:right="639" w:bottom="1440" w:gutter="0" w:footer="0" w:header="0"/>
        </w:sectPr>
      </w:pPr>
    </w:p>
    <w:bookmarkStart w:id="92" w:name="page93"/>
    <w:bookmarkEnd w:id="92"/>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the purposes of this Agreement, the term:</w:t>
      </w:r>
    </w:p>
    <w:p>
      <w:pPr>
        <w:spacing w:after="0" w:line="22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2023 Capped Call Confirmations</w:t>
      </w:r>
      <w:r>
        <w:rPr>
          <w:rFonts w:ascii="Arial" w:cs="Arial" w:eastAsia="Arial" w:hAnsi="Arial"/>
          <w:sz w:val="16"/>
          <w:szCs w:val="16"/>
          <w:color w:val="auto"/>
        </w:rPr>
        <w:t>” means, collectively, that certain (i) Base Call Option Transaction Confirmation, dated as of May 3, 2018, by and between the Company and each of Goldman Sachs &amp; Co. LLC, JPMorgan Chase Bank, National Association and Morgan Stanley &amp; Co. LLC, and</w:t>
      </w:r>
    </w:p>
    <w:p>
      <w:pPr>
        <w:ind w:left="4" w:right="100" w:hanging="4"/>
        <w:spacing w:after="0" w:line="290" w:lineRule="auto"/>
        <w:tabs>
          <w:tab w:leader="none" w:pos="25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Additional Call Option Transaction Confirmation, dated as of May 7, 2018, by and between the Company and each of Goldman Sachs &amp; Co. LLC, JPMorgan Chase Bank, National Association and Morgan Stanley &amp; Co. LLC, in each case, as amended through the date hereof.</w:t>
      </w:r>
    </w:p>
    <w:p>
      <w:pPr>
        <w:spacing w:after="0" w:line="16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2023 Notes</w:t>
      </w:r>
      <w:r>
        <w:rPr>
          <w:rFonts w:ascii="Arial" w:cs="Arial" w:eastAsia="Arial" w:hAnsi="Arial"/>
          <w:sz w:val="18"/>
          <w:szCs w:val="18"/>
          <w:color w:val="auto"/>
        </w:rPr>
        <w:t>” means the $258,750,000 in aggregate principal amount of 0.125% Convertible Senior Notes due 2025 issued under the 2023 Notes Indenture.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auto"/>
        </w:rPr>
        <w:t>“2023 Notes Indenture</w:t>
      </w:r>
      <w:r>
        <w:rPr>
          <w:rFonts w:ascii="Arial" w:cs="Arial" w:eastAsia="Arial" w:hAnsi="Arial"/>
          <w:sz w:val="16"/>
          <w:szCs w:val="16"/>
          <w:color w:val="auto"/>
        </w:rPr>
        <w:t>” means the Indenture, dated as of May 8, 2018, between the Company and U.S. Bank National Association, as trustee.</w:t>
      </w:r>
    </w:p>
    <w:p>
      <w:pPr>
        <w:spacing w:after="0" w:line="248"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Capped Call Confirmations</w:t>
      </w:r>
      <w:r>
        <w:rPr>
          <w:rFonts w:ascii="Arial" w:cs="Arial" w:eastAsia="Arial" w:hAnsi="Arial"/>
          <w:sz w:val="16"/>
          <w:szCs w:val="16"/>
          <w:color w:val="auto"/>
        </w:rPr>
        <w:t>” means that certain (i) Base Call Option Transaction Confirmation, dated as of May 27, 2020, by and between the Company and each of Goldman Sachs &amp; Co. LLC, JPMorgan Chase Bank, National Association and Morgan Stanley &amp; Co. LLC, and</w:t>
      </w:r>
    </w:p>
    <w:p>
      <w:pPr>
        <w:ind w:left="4" w:right="100" w:hanging="4"/>
        <w:spacing w:after="0" w:line="260" w:lineRule="auto"/>
        <w:tabs>
          <w:tab w:leader="none" w:pos="25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Additional Call Option Transaction Confirmation, dated as of June 1, 2020, by and between the Company and each of Goldman Sachs &amp; Co. LLC, JPMorgan Chase Bank, National Association and Morgan Stanley &amp; Co. LLC.</w:t>
      </w:r>
    </w:p>
    <w:p>
      <w:pPr>
        <w:spacing w:after="0" w:line="18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Notes</w:t>
      </w:r>
      <w:r>
        <w:rPr>
          <w:rFonts w:ascii="Arial" w:cs="Arial" w:eastAsia="Arial" w:hAnsi="Arial"/>
          <w:sz w:val="18"/>
          <w:szCs w:val="18"/>
          <w:color w:val="auto"/>
        </w:rPr>
        <w:t>” means the $747,500,000 in aggregate principal amount of 0.50% Convertible Senior Notes due 2025 issued under the 2025 Notes Indenture.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Notes Indenture</w:t>
      </w:r>
      <w:r>
        <w:rPr>
          <w:rFonts w:ascii="Arial" w:cs="Arial" w:eastAsia="Arial" w:hAnsi="Arial"/>
          <w:sz w:val="16"/>
          <w:szCs w:val="16"/>
          <w:color w:val="auto"/>
        </w:rPr>
        <w:t>” means the Indenture, dated as of May 27, 2020, between the Company and U.S. Bank National Association, as trustee.</w:t>
      </w:r>
    </w:p>
    <w:p>
      <w:pPr>
        <w:spacing w:after="0" w:line="248"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means a confidentiality agreement entered into after the date hereof that contains terms that (i) are no less favorable in the aggregate to the Company than those contained in the Confidentiality Agreement (it being understood that such confidentiality agreement need not contain a “standstill” or similar provision) and (ii) do not in any way restrict the Company or its Representatives from complying with its disclosure obligations under this Agreement.</w:t>
      </w:r>
    </w:p>
    <w:p>
      <w:pPr>
        <w:spacing w:after="0" w:line="18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xml:space="preserve">” means any offer, proposal or indication of interest from a person (as defined in </w:t>
      </w:r>
      <w:r>
        <w:rPr>
          <w:rFonts w:ascii="Arial" w:cs="Arial" w:eastAsia="Arial" w:hAnsi="Arial"/>
          <w:sz w:val="16"/>
          <w:szCs w:val="16"/>
          <w:u w:val="single" w:color="auto"/>
          <w:color w:val="auto"/>
        </w:rPr>
        <w:t>Section 5.3</w:t>
      </w:r>
      <w:r>
        <w:rPr>
          <w:rFonts w:ascii="Arial" w:cs="Arial" w:eastAsia="Arial" w:hAnsi="Arial"/>
          <w:sz w:val="16"/>
          <w:szCs w:val="16"/>
          <w:color w:val="auto"/>
        </w:rPr>
        <w:t>) (other than a proposal or offer by Parent or any Parent Subsidiary) at any time relating to any transaction or series of related transactions (other than the Transactions) involving:</w:t>
      </w:r>
    </w:p>
    <w:p>
      <w:pPr>
        <w:ind w:left="4" w:right="20" w:hanging="4"/>
        <w:spacing w:after="0" w:line="253" w:lineRule="auto"/>
        <w:tabs>
          <w:tab w:leader="none" w:pos="2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w:t>
      </w:r>
    </w:p>
    <w:p>
      <w:pPr>
        <w:spacing w:after="0" w:line="1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44"/>
          </w:cols>
          <w:pgMar w:left="436" w:top="270" w:right="519" w:bottom="1440" w:gutter="0" w:footer="0" w:header="0"/>
        </w:sectPr>
      </w:pPr>
    </w:p>
    <w:bookmarkStart w:id="93" w:name="page94"/>
    <w:bookmarkEnd w:id="93"/>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61"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w:t>
      </w:r>
      <w:r>
        <w:rPr>
          <w:rFonts w:ascii="Arial" w:cs="Arial" w:eastAsia="Arial" w:hAnsi="Arial"/>
          <w:sz w:val="16"/>
          <w:szCs w:val="16"/>
          <w:color w:val="auto"/>
        </w:rPr>
        <w:t>” means any Law related to combating bribery and corruption, including the U.S. domestic public bribery statute (18 U.S.C. 201), the U.S. Travel Act, legislation implementing the OECD Convention on Combating Bribery of Foreign Officials in International Business Transactions or the U.N. Convention Against Corruption, the U.S. Foreign Corrupt Practices Act of 1977, as amended, and the U.K. Bribery Act 2010.</w:t>
      </w:r>
    </w:p>
    <w:p>
      <w:pPr>
        <w:spacing w:after="0" w:line="1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any applicable supranational, national, federal, state, county, local or foreign antitrust, competition or trade regulation Laws that are designed or intended to prohibit, restrict, regulate or investigate actions having the purpose or effect of monopolization or restraint of trade, or lessening competition through merger or acquisition, including but not limited to the HSR Act, the Sherman Act, the Clayton Act and the Federal Trade Commission Act, in each case, as amended, and other similar antitrust, competition or trade regulation Laws of any jurisdiction other than the United States.</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and any day which is a legal holiday under the Laws of the State of California or the State of New York or is a day on which banking institutions located in such States are authorized or required by applicable Law or other governmental action to close.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Capped Call Confirmations</w:t>
      </w:r>
      <w:r>
        <w:rPr>
          <w:rFonts w:ascii="Arial" w:cs="Arial" w:eastAsia="Arial" w:hAnsi="Arial"/>
          <w:sz w:val="18"/>
          <w:szCs w:val="18"/>
          <w:color w:val="auto"/>
        </w:rPr>
        <w:t>” means the 2023 Capped Call Confirmations and the 2025 Capped Call Confirmations.</w:t>
      </w:r>
    </w:p>
    <w:p>
      <w:pPr>
        <w:spacing w:after="0" w:line="225"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CARES Act</w:t>
      </w:r>
      <w:r>
        <w:rPr>
          <w:rFonts w:ascii="Arial" w:cs="Arial" w:eastAsia="Arial" w:hAnsi="Arial"/>
          <w:sz w:val="16"/>
          <w:szCs w:val="16"/>
          <w:color w:val="auto"/>
        </w:rPr>
        <w:t>” shall mean the Coronavirus Aid, Relief, and Economic Security Act (including any changes in state or local law that are analogous to provisions of the CARES Act or adopted to conform to the CARES Act) and any legislative or regulatory guidance issued pursuant thereto.</w:t>
      </w:r>
    </w:p>
    <w:p>
      <w:pPr>
        <w:spacing w:after="0" w:line="12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 as amended, inter alia, by the Cable Communications Policy Act of 1984, the Cable Television Consumer Protection and Competition Act of 1992 and the Telecommunications Act of 1996, as such statutes may be amended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Approvals</w:t>
      </w:r>
      <w:r>
        <w:rPr>
          <w:rFonts w:ascii="Arial" w:cs="Arial" w:eastAsia="Arial" w:hAnsi="Arial"/>
          <w:sz w:val="18"/>
          <w:szCs w:val="18"/>
          <w:color w:val="auto"/>
        </w:rPr>
        <w:t xml:space="preserve">” means the grants and approvals set forth on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of the Parent Disclosure Letter.</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Laws</w:t>
      </w:r>
      <w:r>
        <w:rPr>
          <w:rFonts w:ascii="Arial" w:cs="Arial" w:eastAsia="Arial" w:hAnsi="Arial"/>
          <w:sz w:val="18"/>
          <w:szCs w:val="18"/>
          <w:color w:val="auto"/>
        </w:rPr>
        <w:t>” means (i) the Communications Act, (ii) the rules, regulations, published orders, policies and decisions promulgated by, and other applicable requirements of, the FCC and interpretations thereof by federal courts of competent jurisdiction, (iii) the state statutes governing the communications industry, the rules, orders, regulations and other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94" w:name="page95"/>
    <w:bookmarkEnd w:id="94"/>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of any State PUCs; and (iv) any other rules, regulations, published orders, policies and decisions promulgated by the telecommunications regulatory agencies of the United States, states and territories and interpretations thereof by courts of competent jurisdiction; and (v) any rules, regulations, published orders, policies and decisions promulgated by Foreign Governmental Bodies governing the communications industry, in each case, with jurisdiction over any of the services offered by the Company or any of its Subsidiaries.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Bylaws</w:t>
      </w:r>
      <w:r>
        <w:rPr>
          <w:rFonts w:ascii="Arial" w:cs="Arial" w:eastAsia="Arial" w:hAnsi="Arial"/>
          <w:sz w:val="18"/>
          <w:szCs w:val="18"/>
          <w:color w:val="auto"/>
        </w:rPr>
        <w:t>” means the Amended and Restated Bylaws of the Company as in effect on the date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w:t>
      </w:r>
      <w:r>
        <w:rPr>
          <w:rFonts w:ascii="Arial" w:cs="Arial" w:eastAsia="Arial" w:hAnsi="Arial"/>
          <w:sz w:val="18"/>
          <w:szCs w:val="18"/>
          <w:color w:val="auto"/>
        </w:rPr>
        <w:t>” means the Amended and Restated Certificate of Incorporation of the Company as in effect on the date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 means the Company Options and the Company RSUs.</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Plans</w:t>
      </w:r>
      <w:r>
        <w:rPr>
          <w:rFonts w:ascii="Arial" w:cs="Arial" w:eastAsia="Arial" w:hAnsi="Arial"/>
          <w:sz w:val="18"/>
          <w:szCs w:val="18"/>
          <w:color w:val="auto"/>
        </w:rPr>
        <w:t>” means (i) the Company’s 2014 Equity Incentive Plan as amended and restated from time to time, (ii) the Company’s 2004 Equity Incentive Plan, as amended and restated from time to time and (iii) the Inference Technologies Group Inc. 2018 Equity Incentive Plan, as amended and restated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ESPP</w:t>
      </w:r>
      <w:r>
        <w:rPr>
          <w:rFonts w:ascii="Arial" w:cs="Arial" w:eastAsia="Arial" w:hAnsi="Arial"/>
          <w:sz w:val="18"/>
          <w:szCs w:val="18"/>
          <w:color w:val="auto"/>
        </w:rPr>
        <w:t>” means the Company’s 2014 Employee Stock Purchase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Governing Documents</w:t>
      </w:r>
      <w:r>
        <w:rPr>
          <w:rFonts w:ascii="Arial" w:cs="Arial" w:eastAsia="Arial" w:hAnsi="Arial"/>
          <w:sz w:val="18"/>
          <w:szCs w:val="18"/>
          <w:color w:val="auto"/>
        </w:rPr>
        <w:t>” means the Company Bylaws and the Company Certificate.</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Government Contract</w:t>
      </w:r>
      <w:r>
        <w:rPr>
          <w:rFonts w:ascii="Arial" w:cs="Arial" w:eastAsia="Arial" w:hAnsi="Arial"/>
          <w:sz w:val="18"/>
          <w:szCs w:val="18"/>
          <w:color w:val="auto"/>
        </w:rPr>
        <w:t>” means a Contract with any Governmental Entity, any prime contractor of a Governmental Entity in its capacity as a prime contractor or any subcontractor with respect to any such Contract.</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means all Intellectual Property owned by (or claimed to be owned by), filed in the name of the Company or any Company Subsidiary.</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xml:space="preserve">” means any Effect that, individually or in the aggregate, has had or would reasonably be expected to have a material adverse effect on the financial condition, business, or operations of the Company and the Company Subsidiaries,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Effects resulting or arising from the following shall be deemed to constitute a Company Material Adverse Effect or shall be taken into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when determining whether a Company Material Adverse Effect exists or has occurred: (a) any changes after the date hereof in United States, regional, global or international economic conditions, including any changes after the date hereof affecting financial, credit, foreign exchange or capital market conditions; (b) any changes after the date hereof in conditions in any industry or industries in which the Company and the Company Subsidiaries operate; (c) any changes after the date hereof in general political, geopolitical, regulatory or legislative conditions in the United States or any other country or region of the world; (d) any changes after the date hereof in GAAP or the interpretation thereof; (e) any changes after the date hereof in applicable Law or the interpretation thereof; (f) any failure by the Company to meet any internal or published projections, estimates or expectations of the Company’s revenue, earnings or other financial performance or results of operations for any period, in and of itself, or any failure by the Company to meet its internal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95" w:name="page96"/>
    <w:bookmarkEnd w:id="95"/>
    <w:p>
      <w:pPr>
        <w:ind w:left="4"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(g) any acts of terrorism or sabotage, war (whether or not declared), epidemics or pandemics (including</w:t>
      </w:r>
    </w:p>
    <w:p>
      <w:pPr>
        <w:spacing w:after="0" w:line="2"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the COVID-19 pandemic, and any escalations, worsening, evolutions or mutations thereof or related or associated epidemics, pandemics or disease outbreaks (collectively, “</w:t>
      </w:r>
      <w:r>
        <w:rPr>
          <w:rFonts w:ascii="Arial" w:cs="Arial" w:eastAsia="Arial" w:hAnsi="Arial"/>
          <w:sz w:val="16"/>
          <w:szCs w:val="16"/>
          <w:u w:val="single" w:color="auto"/>
          <w:color w:val="auto"/>
        </w:rPr>
        <w:t>COVID-19</w:t>
      </w:r>
      <w:r>
        <w:rPr>
          <w:rFonts w:ascii="Arial" w:cs="Arial" w:eastAsia="Arial" w:hAnsi="Arial"/>
          <w:sz w:val="16"/>
          <w:szCs w:val="16"/>
          <w:color w:val="auto"/>
        </w:rPr>
        <w:t>”)),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Parent or any Parent Subsidiary, the pendency or consummation of this Agreement, the Merger and the other Transactions, including the effect thereof on the relationships with current or prospective customers, suppliers, distributors, partners, financing sources, employees or sales representatives, or the public announcement of this Agreement or the Transactions, including any litigation arising out of or relating to this Agreement or the Transactions, in each case only to the extent resulting from the execution and delivery of this Agreement, the identity of Parent or any Parent Subsidiary, the pendency or consummation of this Agreement, the Merger and the other Transactions, or the public announcement of this Agreement and the Transactions,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the Merger and the other Transactions or to address the consequences of litigation); and</w:t>
      </w:r>
    </w:p>
    <w:p>
      <w:pPr>
        <w:spacing w:after="0" w:line="6" w:lineRule="exact"/>
        <w:rPr>
          <w:sz w:val="20"/>
          <w:szCs w:val="20"/>
          <w:color w:val="auto"/>
        </w:rPr>
      </w:pPr>
    </w:p>
    <w:p>
      <w:pPr>
        <w:ind w:left="4" w:right="180" w:hanging="4"/>
        <w:spacing w:after="0" w:line="271" w:lineRule="auto"/>
        <w:tabs>
          <w:tab w:leader="none" w:pos="21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any action or failure to take any action which action or failure to act is requested in writing by Parent or otherwise expressly required by this Agreement (other than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the exceptions set forth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if such Effect has had a disproportionate adverse effect on the Company or any Company Subsidiary relative to other companies operating in the industry or industries in which the Company and the Company Subsidiaries operate, then only the incremental disproportionate adverse effect of such Effect shall be taken into account for the purpose of determining whether a Company Material Adverse Effect exists or has occurred.</w:t>
      </w:r>
    </w:p>
    <w:p>
      <w:pPr>
        <w:spacing w:after="0" w:line="178"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each option to purchase Company Common Stock granted under any Company Equity Plan that is outstanding and unexercised immediately prior to the Effective Time.</w:t>
      </w:r>
    </w:p>
    <w:p>
      <w:pPr>
        <w:spacing w:after="0" w:line="170"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Products</w:t>
      </w:r>
      <w:r>
        <w:rPr>
          <w:rFonts w:ascii="Arial" w:cs="Arial" w:eastAsia="Arial" w:hAnsi="Arial"/>
          <w:sz w:val="16"/>
          <w:szCs w:val="16"/>
          <w:color w:val="auto"/>
        </w:rPr>
        <w:t>” means any and all products and services, including any that are Software as a service (SaaS), that are or have been in the two (2) years prior to the date of this Agreement marketed, offered, sold, licensed, provided or distributed by the Company or any Company Subsidiary.</w:t>
      </w:r>
    </w:p>
    <w:p>
      <w:pPr>
        <w:spacing w:after="0" w:line="124"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RSU</w:t>
      </w:r>
      <w:r>
        <w:rPr>
          <w:rFonts w:ascii="Arial" w:cs="Arial" w:eastAsia="Arial" w:hAnsi="Arial"/>
          <w:sz w:val="17"/>
          <w:szCs w:val="17"/>
          <w:color w:val="auto"/>
        </w:rPr>
        <w:t>” means each restricted stock unit award relating to shares of Company Common Stock granted under any Company Equity Plan that is outstanding immediately prior to the Effective Time and subject solely to service-based vesting requirements.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Subsidiaries</w:t>
      </w:r>
      <w:r>
        <w:rPr>
          <w:rFonts w:ascii="Arial" w:cs="Arial" w:eastAsia="Arial" w:hAnsi="Arial"/>
          <w:sz w:val="18"/>
          <w:szCs w:val="18"/>
          <w:color w:val="auto"/>
        </w:rPr>
        <w:t>” means the Subsidiaries of the Company.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4" w:right="459" w:bottom="1440" w:gutter="0" w:footer="0" w:header="0"/>
        </w:sectPr>
      </w:pPr>
    </w:p>
    <w:bookmarkStart w:id="96" w:name="page97"/>
    <w:bookmarkEnd w:id="9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means the Confidentiality Agreement, dated March 16, 2021, between Parent and the Company, as may be amended.</w:t>
      </w:r>
    </w:p>
    <w:p>
      <w:pPr>
        <w:spacing w:after="0" w:line="248"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Group Liability</w:t>
      </w:r>
      <w:r>
        <w:rPr>
          <w:rFonts w:ascii="Arial" w:cs="Arial" w:eastAsia="Arial" w:hAnsi="Arial"/>
          <w:sz w:val="17"/>
          <w:szCs w:val="17"/>
          <w:color w:val="auto"/>
        </w:rPr>
        <w:t>” means any and all liabilities (i) under Title IV of ERISA; (ii) under Section 302 of ERISA; (iii) under Sections 412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and 4971 of the Code; (iv) as a result of a failure to comply with the continuation coverage requirements of Section 601 et seq. of ERISA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4980B of the Code; and (v) under corresponding or similar provisions of foreign Laws or regulations, other than such liabilities that arise solely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 of, or relate solely to, plans directly sponsored by the Company and the Company Subsidiaries.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w:t>
      </w:r>
      <w:r>
        <w:rPr>
          <w:rFonts w:ascii="Arial" w:cs="Arial" w:eastAsia="Arial" w:hAnsi="Arial"/>
          <w:sz w:val="18"/>
          <w:szCs w:val="18"/>
          <w:color w:val="auto"/>
        </w:rPr>
        <w:t>” means the 2023 Notes and the 2025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 Indentures</w:t>
      </w:r>
      <w:r>
        <w:rPr>
          <w:rFonts w:ascii="Arial" w:cs="Arial" w:eastAsia="Arial" w:hAnsi="Arial"/>
          <w:sz w:val="18"/>
          <w:szCs w:val="18"/>
          <w:color w:val="auto"/>
        </w:rPr>
        <w:t>” means the 2023 Notes Indenture and the 2025 Notes Indenture.</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 Hedge Obligations</w:t>
      </w:r>
      <w:r>
        <w:rPr>
          <w:rFonts w:ascii="Arial" w:cs="Arial" w:eastAsia="Arial" w:hAnsi="Arial"/>
          <w:sz w:val="18"/>
          <w:szCs w:val="18"/>
          <w:color w:val="auto"/>
        </w:rPr>
        <w:t>” means the hedge obligations entered into in connection with the Convertible Notes evidenced by the Capped Call Confirmations.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means any change, effect, development, circumstance, condition, fact, state of facts, event or occurrence.</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w:t>
      </w:r>
    </w:p>
    <w:p>
      <w:pPr>
        <w:spacing w:after="0" w:line="176"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regulations promulgated and rulings issued thereunder.</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0.5533.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4" w:right="459" w:bottom="1440" w:gutter="0" w:footer="0" w:header="0"/>
        </w:sectPr>
      </w:pPr>
    </w:p>
    <w:bookmarkStart w:id="97" w:name="page98"/>
    <w:bookmarkEnd w:id="97"/>
    <w:p>
      <w:pPr>
        <w:ind w:right="1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Export Controls</w:t>
      </w:r>
      <w:r>
        <w:rPr>
          <w:rFonts w:ascii="Arial" w:cs="Arial" w:eastAsia="Arial" w:hAnsi="Arial"/>
          <w:sz w:val="18"/>
          <w:szCs w:val="18"/>
          <w:color w:val="auto"/>
        </w:rPr>
        <w:t>”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Governmental Body</w:t>
      </w:r>
      <w:r>
        <w:rPr>
          <w:rFonts w:ascii="Arial" w:cs="Arial" w:eastAsia="Arial" w:hAnsi="Arial"/>
          <w:sz w:val="18"/>
          <w:szCs w:val="18"/>
          <w:color w:val="auto"/>
        </w:rPr>
        <w:t>” is a Governmental Entity in a jurisdiction outside the United States.</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GDPR</w:t>
      </w:r>
      <w:r>
        <w:rPr>
          <w:rFonts w:ascii="Arial" w:cs="Arial" w:eastAsia="Arial" w:hAnsi="Arial"/>
          <w:sz w:val="18"/>
          <w:szCs w:val="18"/>
          <w:color w:val="auto"/>
        </w:rPr>
        <w:t>” means Regulation (EU) 2016/679 (General Data Protection Regulation) of the European Parliament and of the Council on the protection of natural persons with regard to the processing of personal data and on the free movement of such data as currently in effect and as may be amended from time to time.</w:t>
      </w:r>
    </w:p>
    <w:p>
      <w:pPr>
        <w:spacing w:after="0" w:line="184"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xml:space="preserve">” means (a) any supranational,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department, or other political subdivision of any government, entity or organization described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(including patent and trademark offices and self-regulatory organizations).</w:t>
      </w:r>
    </w:p>
    <w:p>
      <w:pPr>
        <w:spacing w:after="0" w:line="15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have the meaning set forth in the definition of “Information Privacy and Security Laws.”</w:t>
      </w:r>
    </w:p>
    <w:p>
      <w:pPr>
        <w:spacing w:after="0" w:line="225"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United States Hart-Scott-Rodino Antitrust Improvements Act of 1976, as amended, and the rules and regulations promulgated thereunder.</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Import Restrictions</w:t>
      </w:r>
      <w:r>
        <w:rPr>
          <w:rFonts w:ascii="Arial" w:cs="Arial" w:eastAsia="Arial" w:hAnsi="Arial"/>
          <w:sz w:val="18"/>
          <w:szCs w:val="18"/>
          <w:color w:val="auto"/>
        </w:rPr>
        <w:t>”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w:t>
      </w:r>
    </w:p>
    <w:p>
      <w:pPr>
        <w:spacing w:after="0" w:line="184"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(a) all obligations for borrowed money; (b) all obligations evidenced by bonds, debentures, notes or similar instruments; (c) all Indebtedness of others secured by any Lien on owned or acquired property, whether or not the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98" w:name="page99"/>
    <w:bookmarkEnd w:id="98"/>
    <w:p>
      <w:pPr>
        <w:ind w:left="4"/>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w:t>
      </w:r>
    </w:p>
    <w:p>
      <w:pPr>
        <w:ind w:left="4" w:right="80" w:hanging="4"/>
        <w:spacing w:after="0" w:line="253" w:lineRule="auto"/>
        <w:tabs>
          <w:tab w:leader="none" w:pos="25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obligations representing the deferred and unpaid purchase price of property (other than trade payables incurred in the ordinary course of business consistent with past practice);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w:t>
      </w:r>
    </w:p>
    <w:p>
      <w:pPr>
        <w:spacing w:after="0" w:line="193" w:lineRule="exact"/>
        <w:rPr>
          <w:sz w:val="20"/>
          <w:szCs w:val="20"/>
          <w:color w:val="auto"/>
        </w:rPr>
      </w:pPr>
    </w:p>
    <w:p>
      <w:pPr>
        <w:ind w:left="4" w:right="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Privacy and Security Laws</w:t>
      </w:r>
      <w:r>
        <w:rPr>
          <w:rFonts w:ascii="Arial" w:cs="Arial" w:eastAsia="Arial" w:hAnsi="Arial"/>
          <w:sz w:val="17"/>
          <w:szCs w:val="17"/>
          <w:color w:val="auto"/>
        </w:rPr>
        <w:t>” means any applicable Law, rule, regulation or directive, all binding guidance issued by any Governmental Entity thereunder and any binding applicable self-regulatory guidelines, relating to: (a) the privacy, protection, integrity, or security of Personal Data, including as relevant to the Processing of Personal Data or (b) requirements for websites and mobile applications, online behavioral advertising, tracking technologies, call or electronic monitoring or recording, or any outbound calling and text messaging, and email marketing. Without limiting the foregoing, “Information Privacy and Security Laws” includes the following to the extent applicable to the Company, any Company Subsidiaries: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GDPR (and any European Union member states’ Laws and regulations implementing them), the Canadian Personal Information Protection and Electronic Documents Act, Japan’s Act on the Protection of Personal Information, the Health Insurance Portability and Accountability Act of 1996, as amended and supplemented by the Health Information Technology for Economic and Clinical Health Act of the American Recovery and Reinvestment Act of 2009 (together, “</w:t>
      </w:r>
      <w:r>
        <w:rPr>
          <w:rFonts w:ascii="Arial" w:cs="Arial" w:eastAsia="Arial" w:hAnsi="Arial"/>
          <w:sz w:val="17"/>
          <w:szCs w:val="17"/>
          <w:u w:val="single" w:color="auto"/>
          <w:color w:val="auto"/>
        </w:rPr>
        <w:t>HIPAA</w:t>
      </w:r>
      <w:r>
        <w:rPr>
          <w:rFonts w:ascii="Arial" w:cs="Arial" w:eastAsia="Arial" w:hAnsi="Arial"/>
          <w:sz w:val="17"/>
          <w:szCs w:val="17"/>
          <w:color w:val="auto"/>
        </w:rPr>
        <w:t>”),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Subsidiaries operate or which are otherwise applicable to their respective businesses.</w:t>
      </w:r>
    </w:p>
    <w:p>
      <w:pPr>
        <w:spacing w:after="0" w:line="184" w:lineRule="exact"/>
        <w:rPr>
          <w:sz w:val="20"/>
          <w:szCs w:val="20"/>
          <w:color w:val="auto"/>
        </w:rPr>
      </w:pPr>
    </w:p>
    <w:p>
      <w:pPr>
        <w:ind w:left="4"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w:t>
      </w:r>
    </w:p>
    <w:p>
      <w:pPr>
        <w:spacing w:after="0" w:line="178"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will be deemed to be, as the case may be, the actual knowledge of (a) the individuals set forth on Section 1.1(a) of the Parent Disclosure Letter with respect to Parent or Merger Sub or (b) the individuals set forth on Section 1.1(a) of the Company Disclosure Letter with respect to the Company, in each case after reasonable inquiry of such individual’s direct reports.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4"/>
          </w:cols>
          <w:pgMar w:left="436" w:top="274" w:right="459" w:bottom="1440" w:gutter="0" w:footer="0" w:header="0"/>
        </w:sectPr>
      </w:pPr>
    </w:p>
    <w:bookmarkStart w:id="99" w:name="page100"/>
    <w:bookmarkEnd w:id="99"/>
    <w:p>
      <w:pPr>
        <w:ind w:right="6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(including common law), statute, requirement, code, rule, regulation, order, ordinance, judgment or decree or other pronouncement of any Governmental Entity.</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w:t>
      </w:r>
    </w:p>
    <w:p>
      <w:pPr>
        <w:spacing w:after="0" w:line="188"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“multiemployer plan” within the meaning of Section 3(37) of ERISA or any plan that has two (2) or more contributing sponsors at least two (2) of whom are not under common control within the meaning of Section 4063 of ERISA.</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Share</w:t>
      </w:r>
      <w:r>
        <w:rPr>
          <w:rFonts w:ascii="Arial" w:cs="Arial" w:eastAsia="Arial" w:hAnsi="Arial"/>
          <w:sz w:val="16"/>
          <w:szCs w:val="16"/>
          <w:color w:val="auto"/>
        </w:rPr>
        <w:t>” means, with respect to a Company Option, the quotient obtained by dividing (a) the product of (i) the excess, if any, of the Per Share Cash Equivalent Consideration over the per share exercise price of such Company Option, multiplied by (ii) the number of shares of Company Common Stock subject to such Company Option immediately prior to the Effective Time, by (b) the Per Share Cash Equivalent Consideration.</w:t>
      </w:r>
    </w:p>
    <w:p>
      <w:pPr>
        <w:spacing w:after="0" w:line="149"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License</w:t>
      </w:r>
      <w:r>
        <w:rPr>
          <w:rFonts w:ascii="Arial" w:cs="Arial" w:eastAsia="Arial" w:hAnsi="Arial"/>
          <w:sz w:val="16"/>
          <w:szCs w:val="16"/>
          <w:color w:val="auto"/>
        </w:rPr>
        <w:t>” means any license that is approved by the Open Source Initiative and listed at http://www.opensource.org/licenses, and any similar license for “free,” “publicly available” or “open source” software, including the GNU General Public License, the Lesser GNU General Public License, the Apache License, the BSD License, Mozilla Public License (MPL), the MIT License or any other license that otherwise requires, as a condition of distribution of the Software licensed thereunder, that other Software incorporated into, derived from or distributed with, such Software (a) be disclosed or distributed in Source Code form, (b) be licensed for purposes of preparing derivative works or (c) be redistributed at no charge.</w:t>
      </w:r>
    </w:p>
    <w:p>
      <w:pPr>
        <w:spacing w:after="0" w:line="161"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License</w:t>
      </w:r>
      <w:r>
        <w:rPr>
          <w:rFonts w:ascii="Arial" w:cs="Arial" w:eastAsia="Arial" w:hAnsi="Arial"/>
          <w:sz w:val="16"/>
          <w:szCs w:val="16"/>
          <w:color w:val="auto"/>
        </w:rPr>
        <w:t>” means standard licenses contained in customer subscription, license or service agreements with respect to Company Products or confidentiality agreements, in each case that are non-exclusive, and granted in the ordinary course of business consistent with past practice.</w:t>
      </w:r>
    </w:p>
    <w:p>
      <w:pPr>
        <w:spacing w:after="0" w:line="12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Plans</w:t>
      </w:r>
      <w:r>
        <w:rPr>
          <w:rFonts w:ascii="Arial" w:cs="Arial" w:eastAsia="Arial" w:hAnsi="Arial"/>
          <w:sz w:val="18"/>
          <w:szCs w:val="18"/>
          <w:color w:val="auto"/>
        </w:rPr>
        <w:t>” means all employee and director equity incentive plans of Parent and agreements for equity awards in respect of Parent Class A Common Stock granted under the inducement grant exception.</w:t>
      </w:r>
    </w:p>
    <w:p>
      <w:pPr>
        <w:spacing w:after="0" w:line="170"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xml:space="preserve">” means any Effect that, individually or in the aggregate, has had or would reasonably be expected to have a material adverse effect on the financial condition, business, or operations of Parent and the Parent Subsidiaries, taken as a whole;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Effects resulting or arising from the following shall be deemed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0"/>
          </w:cols>
          <w:pgMar w:left="440" w:top="274" w:right="479" w:bottom="1440" w:gutter="0" w:footer="0" w:header="0"/>
        </w:sectPr>
      </w:pPr>
    </w:p>
    <w:bookmarkStart w:id="100" w:name="page101"/>
    <w:bookmarkEnd w:id="10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constitute a Parent Material Adverse Effect or shall be taken into account when determining whether a Parent Material Adverse Effect exists or has occurred: (a) any changes after the date hereof in United States, regional, global or international economic conditions, including any changes after the date hereof affecting financial, credit, foreign exchange or capital market conditions; (b) any changes after the date hereof in conditions in any industry or industries in which Parent and the Parent Subsidiaries operate; (c) any changes after the date hereof in general political, geopolitical, regulatory or legislative conditions in the United States or any other country or region of the world; (d) any changes after the date hereof in GAAP or the interpretation thereof; (e) any changes after the date hereof in applicable Law or the interpretation thereof; (f)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(g) any acts of terrorism or sabotage, war (whether or not declared), epidemics or pandemics (including COVID-19),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the Company or any Company Subsidiary, the pendency or consummation of this Agreement, the Merger and the other Transactions, including the effect thereof on the relationships with current or prospective customers, suppliers, distributors, partners, financing sources, employees or sales representatives, or the public announcement of this Agreement or the Transactions, including any litigation arising out of or relating to this Agreement or the Transactions, in each case only to the extent resulting from the execution and delivery of this Agreement, the identity of the Company or any Company Subsidiary, the pendency or consummation of this Agreement, the Merger and the other Transactions, or the public announcement of this Agreement and the Transactions,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the Merger and the other Transactions or to address the consequences of litigation); and (i) any action or failure to take any action which action or failure to act is requested in writing by the Company or otherwise expressly required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the exceptions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 (c)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if such Effect has had a disproportionate adverse effect on Parent or any Parent Subsidiary relative to other companies operating in the industry or industries in which Parent and the Parent Subsidiaries operate, then only the incremental disproportionate adverse effect of such Effect shall be taken into account for the purpose of determining whether a Parent Material Adverse Effect exists or has occurred.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Subsidiaries</w:t>
      </w:r>
      <w:r>
        <w:rPr>
          <w:rFonts w:ascii="Arial" w:cs="Arial" w:eastAsia="Arial" w:hAnsi="Arial"/>
          <w:sz w:val="18"/>
          <w:szCs w:val="18"/>
          <w:color w:val="auto"/>
        </w:rPr>
        <w:t>” means the Subsidiaries of Parent.</w:t>
      </w:r>
    </w:p>
    <w:p>
      <w:pPr>
        <w:spacing w:after="0" w:line="225"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Trading Price</w:t>
      </w:r>
      <w:r>
        <w:rPr>
          <w:rFonts w:ascii="Arial" w:cs="Arial" w:eastAsia="Arial" w:hAnsi="Arial"/>
          <w:sz w:val="17"/>
          <w:szCs w:val="17"/>
          <w:color w:val="auto"/>
        </w:rPr>
        <w:t>” means the volume weighted average closing sale price of one (1) share of Parent Class A Common Stock as reported on Nasdaq for the ten (10) consecutive trading days ending on the trading day immediately preceding the Effective Time (as adjusted as appropriate to reflect any stock splits, stock dividends, combinations, reorganizations, reclassifications or similar events).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101" w:name="page102"/>
    <w:bookmarkEnd w:id="101"/>
    <w:p>
      <w:pPr>
        <w:ind w:left="4"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Taxing authority (including IRS Notice 2020-65).</w:t>
      </w:r>
    </w:p>
    <w:p>
      <w:pPr>
        <w:spacing w:after="0" w:line="184"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 DSS</w:t>
      </w:r>
      <w:r>
        <w:rPr>
          <w:rFonts w:ascii="Arial" w:cs="Arial" w:eastAsia="Arial" w:hAnsi="Arial"/>
          <w:sz w:val="18"/>
          <w:szCs w:val="18"/>
          <w:color w:val="auto"/>
        </w:rPr>
        <w:t>” means the Payment Card Industry Data Security Standard, issued by the Payment Card Industry Security Standards Council, as may be revised from time to time.</w:t>
      </w:r>
    </w:p>
    <w:p>
      <w:pPr>
        <w:spacing w:after="0" w:line="170"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Cash Equivalent Consideration</w:t>
      </w:r>
      <w:r>
        <w:rPr>
          <w:rFonts w:ascii="Arial" w:cs="Arial" w:eastAsia="Arial" w:hAnsi="Arial"/>
          <w:sz w:val="18"/>
          <w:szCs w:val="18"/>
          <w:color w:val="auto"/>
        </w:rPr>
        <w:t xml:space="preserve">” means the product (rounded to the nearest cent)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Exchange Ratio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Parent Trading Price.</w:t>
      </w:r>
    </w:p>
    <w:p>
      <w:pPr>
        <w:spacing w:after="0" w:line="170"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any Lien (i) for Taxes or governmental assessments, charges or claims of payment not yet due or that is being contested in good faith by appropriate proceedings;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consistent with past practice;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consistent with past practice;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any Company Subsidiary;</w:t>
      </w:r>
    </w:p>
    <w:p>
      <w:pPr>
        <w:spacing w:after="0" w:line="4" w:lineRule="exact"/>
        <w:rPr>
          <w:sz w:val="20"/>
          <w:szCs w:val="20"/>
          <w:color w:val="auto"/>
        </w:rPr>
      </w:pPr>
    </w:p>
    <w:p>
      <w:pPr>
        <w:ind w:left="4" w:right="120" w:hanging="4"/>
        <w:spacing w:after="0" w:line="255" w:lineRule="auto"/>
        <w:tabs>
          <w:tab w:leader="none" w:pos="30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 a pledge or deposit to secure performance of bids, trade contracts, leases, surety and appeal bonds, performance bonds and other obligations of a similar nature that, in each case, is not material; and (x) that has arisen in the ordinary course of business consistent with past practice and does not adversely affect the value, ownership, use or operation of the property subject thereto.</w:t>
      </w:r>
    </w:p>
    <w:p>
      <w:pPr>
        <w:spacing w:after="0" w:line="19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partnership, corporation, limited liability company, business trust, joint stock company, trust, unincorporated association, joint venture, Governmental Entity or other entity or organization.</w:t>
      </w:r>
    </w:p>
    <w:p>
      <w:pPr>
        <w:spacing w:after="0" w:line="170" w:lineRule="exact"/>
        <w:rPr>
          <w:sz w:val="20"/>
          <w:szCs w:val="20"/>
          <w:color w:val="auto"/>
        </w:rPr>
      </w:pPr>
    </w:p>
    <w:p>
      <w:pPr>
        <w:ind w:left="4" w:right="1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any and all information that can reasonably be used to identify an individual natural person, household, or device, including name, physical address, telephone number, email address, financial account number, passwords or PINs, device identifier or unique identification number, government-issued identifier (including Social Security number and driver’s license number), medical, health or insurance information, gender, date of birth, educational or employment information, religious or political views or affiliations and marital or other status (to the extent any of these data elements can reasonably be associated with an individual natural person or is linked to any such data element that can reasonably be associated with an individual natural person, household, or device). Personal Data also includes any</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84"/>
          </w:cols>
          <w:pgMar w:left="436" w:top="274" w:right="479" w:bottom="1440" w:gutter="0" w:footer="0" w:header="0"/>
        </w:sectPr>
      </w:pPr>
    </w:p>
    <w:bookmarkStart w:id="102" w:name="page103"/>
    <w:bookmarkEnd w:id="102"/>
    <w:p>
      <w:pPr>
        <w:jc w:val="both"/>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not listed above if such information is defined as “personal data,” “personally identifiable information,” “individually identifiable health information,” “protected health information” or “personal information” under any Information Privacy and Security Laws or Privacy Requirements.</w:t>
      </w:r>
    </w:p>
    <w:p>
      <w:pPr>
        <w:spacing w:after="0" w:line="124"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Statements</w:t>
      </w:r>
      <w:r>
        <w:rPr>
          <w:rFonts w:ascii="Arial" w:cs="Arial" w:eastAsia="Arial" w:hAnsi="Arial"/>
          <w:sz w:val="18"/>
          <w:szCs w:val="18"/>
          <w:color w:val="auto"/>
        </w:rPr>
        <w:t>” means, collectively, all of the Company’s and the Company Subsidiaries’ external privacy policies or privacy statements made to customers, and publicly posted privacy policies (including if posted on the Company’s or the Company Subsidiaries’ products and services) regarding the collection, use, disclosure, transfer, storage, maintenance, retention, deletion, disposal, modification or processing of Protected Information.</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means all actions, suits, claims, hearings, arbitrations, litigations, mediations, audits, investigations, examinations or other similar proceedings, in each case, by or before any Governmental Entity.</w:t>
      </w:r>
    </w:p>
    <w:p>
      <w:pPr>
        <w:spacing w:after="0" w:line="170"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Protected Information</w:t>
      </w:r>
      <w:r>
        <w:rPr>
          <w:rFonts w:ascii="Arial" w:cs="Arial" w:eastAsia="Arial" w:hAnsi="Arial"/>
          <w:sz w:val="17"/>
          <w:szCs w:val="17"/>
          <w:color w:val="auto"/>
        </w:rPr>
        <w:t>” means (a) Personal Data; (b) any other information that is governed, regulated or protected by one or more Information Privacy and Security Laws; (c) any confidential information of the Company or a Company Subsidiary that the Company or a Company Subsidiary receives, creates, transmits or maintains in electronic form through Company or Company Subsidiary systems networks or other information technology; or (d) any sensitive information which the Company is contractually bound to keep confidential.</w:t>
      </w:r>
    </w:p>
    <w:p>
      <w:pPr>
        <w:spacing w:after="0" w:line="171"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when used with respect to any Person, the directors, officers, employees, consultants, financial advisors, accountants, legal counsel, investment bankers and other agents, advisors and representatives of such Person and its Subsidiaries.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w:t>
      </w:r>
    </w:p>
    <w:p>
      <w:pPr>
        <w:spacing w:after="0" w:line="17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Source Code</w:t>
      </w:r>
      <w:r>
        <w:rPr>
          <w:rFonts w:ascii="Arial" w:cs="Arial" w:eastAsia="Arial" w:hAnsi="Arial"/>
          <w:sz w:val="18"/>
          <w:szCs w:val="18"/>
          <w:color w:val="auto"/>
        </w:rPr>
        <w:t>”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spacing w:after="0" w:line="184"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 PUC</w:t>
      </w:r>
      <w:r>
        <w:rPr>
          <w:rFonts w:ascii="Arial" w:cs="Arial" w:eastAsia="Arial" w:hAnsi="Arial"/>
          <w:sz w:val="16"/>
          <w:szCs w:val="16"/>
          <w:color w:val="auto"/>
        </w:rPr>
        <w:t>” means any state public service commission, public utilities commission or similar state agency responsible for regulating the communications industry within a particular state and with jurisdiction over any of the services offered by the Company or any of its Subsidiaries.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00"/>
          </w:cols>
          <w:pgMar w:left="440" w:top="274" w:right="559" w:bottom="1440" w:gutter="0" w:footer="0" w:header="0"/>
        </w:sectPr>
      </w:pPr>
    </w:p>
    <w:bookmarkStart w:id="103" w:name="page104"/>
    <w:bookmarkEnd w:id="103"/>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19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xml:space="preserve">” means a bona fide, written Acquisition Proposal (with references in the definition thereof to fifteen percent (15%) and eighty -five percent (85%) being deemed to be replaced with references to eighty percent (80%) and twenty percent (20%), respectively) by a third party, which the Company Board of Directors determines in good faith after consultation with the Company’s outside legal counsel and financial advisors to be more favorable to the Company Stockholders from a financial point of view than the Merger,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9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Statute</w:t>
      </w:r>
      <w:r>
        <w:rPr>
          <w:rFonts w:ascii="Arial" w:cs="Arial" w:eastAsia="Arial" w:hAnsi="Arial"/>
          <w:sz w:val="18"/>
          <w:szCs w:val="18"/>
          <w:color w:val="auto"/>
        </w:rPr>
        <w:t>” means any “business combination,” “control share acquisition,” “fair price,” “moratorium” or other takeover or anti-takeover statute or similar Law.</w:t>
      </w:r>
    </w:p>
    <w:p>
      <w:pPr>
        <w:spacing w:after="0" w:line="170"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U.S. federal, state, local and non-U.S. taxes and assessments, levies, duties, tariffs, imposts and other similar charges and fees in the nature of a tax, including income, franchise, windfall or other profits, gross receipts, property, sales, use, net worth, capital stock, payroll, employment, social security, workers’ compensation, unemployment compensation, excise, withholding, ad valorem, stamp, transfer, value added, occupation, environmental, disability, real property, personal property, registration, alternative or add-on minimum, or estimated tax, including any interest, penalty, additions to tax and any additional amounts imposed with respect thereto, whether disputed or not.</w:t>
      </w:r>
    </w:p>
    <w:p>
      <w:pPr>
        <w:spacing w:after="0" w:line="161"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report, return, certificate, claim for refund, election, estimated Tax filing or declaration filed or required to be filed with any Governmental Entity with respect to Taxes, including any schedule or attachment thereto, and including any amendments thereof.</w:t>
      </w:r>
    </w:p>
    <w:p>
      <w:pPr>
        <w:spacing w:after="0" w:line="14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w:t>
      </w:r>
      <w:r>
        <w:rPr>
          <w:rFonts w:ascii="Arial" w:cs="Arial" w:eastAsia="Arial" w:hAnsi="Arial"/>
          <w:sz w:val="18"/>
          <w:szCs w:val="18"/>
          <w:color w:val="auto"/>
        </w:rPr>
        <w:t>” means all forms of technology and content, including any or all of the following: (a) published and unpublished works of authorship, including without limitation audiovisual works, collective works, computer programs or software (whether in source code or executable form), documentation, compilations, databases, derivative works, literary works, maskworks, websites, and sound recordings; (b) inventions (whether or not patentable), discoveries, improvements, business methods, compositions of matter, machines, methods, and processes and new uses for any of the preceding items; (c) information that is not generally known or readily ascertainable through proper means, whether tangible or intangible, including without limitation algorithms, customer lists, ideas, designs, formulas, know-how, methods, processes, programs, prototypes, systems, and techniques; (d) databases, data compilations and collections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00"/>
          </w:cols>
          <w:pgMar w:left="440" w:top="274" w:right="459" w:bottom="1440" w:gutter="0" w:footer="0" w:header="0"/>
        </w:sectPr>
      </w:pPr>
    </w:p>
    <w:bookmarkStart w:id="104" w:name="page105"/>
    <w:bookmarkEnd w:id="104"/>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technical data; and (e) devices, prototypes, designs and schematics (whether or not any of the foregoing is embodied in any tangible form and including all tangible embodiments of the foregoing, such as instruction manuals, laboratory notebooks, prototypes, samples, studies and summaries).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U.S. Treasury regulations promulgated under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Adjusted Option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2.3(b)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Adjusted RSU</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2.3(d)</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Agreement</w:t>
            </w:r>
          </w:p>
        </w:tc>
        <w:tc>
          <w:tcPr>
            <w:tcW w:w="68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Arrangements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Base Amount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6.4(c)</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Book-Entry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2.2(b)(ii)</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Cancelled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Certificate of Merger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1.4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Certificates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2.2(b)(i)</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Closing</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Closing Date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Code</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Communications Authorizations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3.9(c)</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w:t>
            </w:r>
          </w:p>
        </w:tc>
        <w:tc>
          <w:tcPr>
            <w:tcW w:w="68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Acquisition Agreement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Benefit Plan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3.10(a)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Board of Directors</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Board Recommendation</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Capitalization Date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3.2(a)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Common Stock</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Compensation Committee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Counsel</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5.4(a)(ii)</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Disclosure Letter</w:t>
            </w:r>
          </w:p>
        </w:tc>
        <w:tc>
          <w:tcPr>
            <w:tcW w:w="6840" w:type="dxa"/>
            <w:vAlign w:val="bottom"/>
          </w:tcPr>
          <w:p>
            <w:pPr>
              <w:jc w:val="right"/>
              <w:spacing w:after="0"/>
              <w:rPr>
                <w:sz w:val="20"/>
                <w:szCs w:val="20"/>
                <w:color w:val="auto"/>
              </w:rPr>
            </w:pPr>
            <w:r>
              <w:rPr>
                <w:rFonts w:ascii="Arial" w:cs="Arial" w:eastAsia="Arial" w:hAnsi="Arial"/>
                <w:sz w:val="18"/>
                <w:szCs w:val="18"/>
                <w:color w:val="auto"/>
              </w:rPr>
              <w:t>Article III</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Leases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Permits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3.2(a)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Registered Intellectual Property</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3.14(a)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SEC Documents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3.5(a)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Stockholders</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Stockholder Approval</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Stockholders Meeting</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5.4(b)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Tax Representation Letter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6.14(b)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Continuing Employees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Converted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Current ESPP Offering Periods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2.3(e)</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DGCL</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365"/>
        </w:trPr>
        <w:tc>
          <w:tcPr>
            <w:tcW w:w="4180" w:type="dxa"/>
            <w:vAlign w:val="bottom"/>
          </w:tcPr>
          <w:p>
            <w:pPr>
              <w:spacing w:after="0"/>
              <w:rPr>
                <w:sz w:val="24"/>
                <w:szCs w:val="24"/>
                <w:color w:val="auto"/>
              </w:rPr>
            </w:pPr>
          </w:p>
        </w:tc>
        <w:tc>
          <w:tcPr>
            <w:tcW w:w="6840" w:type="dxa"/>
            <w:vAlign w:val="bottom"/>
          </w:tcPr>
          <w:p>
            <w:pPr>
              <w:jc w:val="right"/>
              <w:ind w:right="5250"/>
              <w:spacing w:after="0"/>
              <w:rPr>
                <w:sz w:val="20"/>
                <w:szCs w:val="20"/>
                <w:color w:val="auto"/>
              </w:rPr>
            </w:pPr>
            <w:r>
              <w:rPr>
                <w:rFonts w:ascii="Arial" w:cs="Arial" w:eastAsia="Arial" w:hAnsi="Arial"/>
                <w:sz w:val="18"/>
                <w:szCs w:val="18"/>
                <w:color w:val="auto"/>
              </w:rPr>
              <w:t>A-13</w:t>
            </w:r>
          </w:p>
        </w:tc>
      </w:tr>
    </w:tbl>
    <w:p>
      <w:pPr>
        <w:sectPr>
          <w:pgSz w:w="11900" w:h="16838" w:orient="portrait"/>
          <w:cols w:equalWidth="0" w:num="1">
            <w:col w:w="11020"/>
          </w:cols>
          <w:pgMar w:left="440" w:top="274" w:right="43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DOJ</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Effective Time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1.4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Enforceability Limitations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3.3(c)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Exchange Agent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Exchange Fund</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FCC</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Form S-4</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3.4(a)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Fractional Share Consideration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fraud</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8.2(a)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FTC</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GAAP</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3.5(b)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Government Contract Bid</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3.17(d)</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Indemnified Parties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6.4(a)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Intervening Event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5.3(d)</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IP Contracts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3.14(i)</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Material Contract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3.17(a)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Material Customer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3.19(a)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Material Government Bid</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3.17(c)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Material Reseller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3.19(c)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Material Supplier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3.19(b)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w:t>
            </w:r>
          </w:p>
        </w:tc>
        <w:tc>
          <w:tcPr>
            <w:tcW w:w="71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 Consideration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 Sub Shares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New Plans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6.7(b)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OFAC</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3.9(f)</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Old Plan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6.7(b)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Outside Date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8.1(d)</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Capitalization Date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Class A Common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Class B Common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Counsel</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5.4(a)(ii)</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Disclosure Letter</w:t>
            </w:r>
          </w:p>
        </w:tc>
        <w:tc>
          <w:tcPr>
            <w:tcW w:w="7180" w:type="dxa"/>
            <w:vAlign w:val="bottom"/>
          </w:tcPr>
          <w:p>
            <w:pPr>
              <w:jc w:val="right"/>
              <w:spacing w:after="0"/>
              <w:rPr>
                <w:sz w:val="20"/>
                <w:szCs w:val="20"/>
                <w:color w:val="auto"/>
              </w:rPr>
            </w:pPr>
            <w:r>
              <w:rPr>
                <w:rFonts w:ascii="Arial" w:cs="Arial" w:eastAsia="Arial" w:hAnsi="Arial"/>
                <w:sz w:val="18"/>
                <w:szCs w:val="18"/>
                <w:color w:val="auto"/>
              </w:rPr>
              <w:t>Article IV</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Governing Documents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Permits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4.9(b)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Preferred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SEC Documents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4.5(a)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Tax Representation Letter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6.14(b)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Parties</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Party</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person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Privacy Requirements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3.15(a)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Proxy Statement/Prospectus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3.21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 Sub</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 Sub Shares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2.1(c)</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Qatalyst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3.22</w:t>
            </w:r>
          </w:p>
        </w:tc>
      </w:tr>
      <w:tr>
        <w:trPr>
          <w:trHeight w:val="365"/>
        </w:trPr>
        <w:tc>
          <w:tcPr>
            <w:tcW w:w="3840" w:type="dxa"/>
            <w:vAlign w:val="bottom"/>
          </w:tcPr>
          <w:p>
            <w:pPr>
              <w:spacing w:after="0"/>
              <w:rPr>
                <w:sz w:val="24"/>
                <w:szCs w:val="24"/>
                <w:color w:val="auto"/>
              </w:rPr>
            </w:pPr>
          </w:p>
        </w:tc>
        <w:tc>
          <w:tcPr>
            <w:tcW w:w="7180" w:type="dxa"/>
            <w:vAlign w:val="bottom"/>
          </w:tcPr>
          <w:p>
            <w:pPr>
              <w:jc w:val="right"/>
              <w:ind w:right="5250"/>
              <w:spacing w:after="0"/>
              <w:rPr>
                <w:sz w:val="20"/>
                <w:szCs w:val="20"/>
                <w:color w:val="auto"/>
              </w:rPr>
            </w:pPr>
            <w:r>
              <w:rPr>
                <w:rFonts w:ascii="Arial" w:cs="Arial" w:eastAsia="Arial" w:hAnsi="Arial"/>
                <w:sz w:val="18"/>
                <w:szCs w:val="18"/>
                <w:color w:val="auto"/>
              </w:rPr>
              <w:t>A-14</w:t>
            </w:r>
          </w:p>
        </w:tc>
      </w:tr>
    </w:tbl>
    <w:p>
      <w:pPr>
        <w:sectPr>
          <w:pgSz w:w="11900" w:h="16838" w:orient="portrait"/>
          <w:cols w:equalWidth="0" w:num="1">
            <w:col w:w="11020"/>
          </w:cols>
          <w:pgMar w:left="440" w:top="274" w:right="439"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Restricted Parties</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3.9(h)</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Sarbanes Oxley Act</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3.5(a)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Specified Exercise</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6.15(b)</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Surviving Company</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Surviving Company Stock</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Termination Fee</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8.2(b)(i)</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Transactions</w:t>
            </w:r>
          </w:p>
        </w:tc>
        <w:tc>
          <w:tcPr>
            <w:tcW w:w="74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willful breach</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8.2(a)</w:t>
            </w:r>
          </w:p>
        </w:tc>
      </w:tr>
      <w:tr>
        <w:trPr>
          <w:trHeight w:val="365"/>
        </w:trPr>
        <w:tc>
          <w:tcPr>
            <w:tcW w:w="3620" w:type="dxa"/>
            <w:vAlign w:val="bottom"/>
          </w:tcPr>
          <w:p>
            <w:pPr>
              <w:spacing w:after="0"/>
              <w:rPr>
                <w:sz w:val="24"/>
                <w:szCs w:val="24"/>
                <w:color w:val="auto"/>
              </w:rPr>
            </w:pPr>
          </w:p>
        </w:tc>
        <w:tc>
          <w:tcPr>
            <w:tcW w:w="7400" w:type="dxa"/>
            <w:vAlign w:val="bottom"/>
          </w:tcPr>
          <w:p>
            <w:pPr>
              <w:jc w:val="right"/>
              <w:ind w:right="5250"/>
              <w:spacing w:after="0"/>
              <w:rPr>
                <w:sz w:val="20"/>
                <w:szCs w:val="20"/>
                <w:color w:val="auto"/>
              </w:rPr>
            </w:pPr>
            <w:r>
              <w:rPr>
                <w:rFonts w:ascii="Arial" w:cs="Arial" w:eastAsia="Arial" w:hAnsi="Arial"/>
                <w:sz w:val="18"/>
                <w:szCs w:val="18"/>
                <w:color w:val="auto"/>
              </w:rPr>
              <w:t>A-15</w:t>
            </w:r>
          </w:p>
        </w:tc>
      </w:tr>
    </w:tbl>
    <w:p>
      <w:pPr>
        <w:sectPr>
          <w:pgSz w:w="11900" w:h="16838" w:orient="portrait"/>
          <w:cols w:equalWidth="0" w:num="1">
            <w:col w:w="11020"/>
          </w:cols>
          <w:pgMar w:left="440" w:top="274"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171450</wp:posOffset>
            </wp:positionV>
            <wp:extent cx="4500245" cy="8058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002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to Acquire Five9</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combination of Zoom’s robust communications platform with Five9’s intelligent cloud contact center will enable organizations to reimagine the way they engage with their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July 18, 2021 21:04 ET | Source: </w:t>
      </w:r>
      <w:r>
        <w:rPr>
          <w:rFonts w:ascii="Arial" w:cs="Arial" w:eastAsia="Arial" w:hAnsi="Arial"/>
          <w:sz w:val="18"/>
          <w:szCs w:val="18"/>
          <w:u w:val="single" w:color="auto"/>
          <w:color w:val="auto"/>
        </w:rPr>
        <w:t>Zoom Video Communications, Inc.</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SAN JOSE, Calif. and SAN RAMON, Calif., July 18, 2021 (GLOBE NEWSWIRE) — Zoom Video Communications, Inc. (NASDAQ: ZM) today announced it has entered into a definitive agreement to acquire Five9, Inc. (NASDAQ: FIVN), a leading provider of the intelligent cloud contact center, in an all-stock transaction valued at approximately $14.7 billion. Combining Five9’s Contact Center as a Service (“CCaaS”) solution with Zoom’s broad communications platform will transform how businesses connect with their customers, building the customer engagement platform of the future.</w:t>
      </w:r>
    </w:p>
    <w:p>
      <w:pPr>
        <w:spacing w:after="0" w:line="15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acquisition is expected to help enhance Zoom’s presence with enterprise customers and allow it to accelerate its long-term growth opportunity by adding the $24 billion contact center market. Five9 is a pioneer of cloud-based contact center software. Its highly-scalable and secure cloud contact center delivers a comprehensive suite of easy-to-use applications that allows management and optimization of customer interactions across many different channels.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continuously looking for ways to enhance our platform, and the addition of Five9 is a natural fit that will deliver even more happiness and value to our customers,” said Eric S. Yuan, Chief Executive Officer and Founder of Zoom. “Zoom is built on a core belief that robust and reliable communications technology enables interactions that build greater empathy and trust, and we believe that holds particularly true for customer engagement. Enterprises communicate with their customers primarily through the contact center, and we believe this acquisition creates a leading customer engagement platform that will help redefine how companies of all sizes connect with their customers. We are thrilled to join forces with the Five9 team, and I look forward to welcoming them to the Zoom family.”</w:t>
      </w:r>
    </w:p>
    <w:p>
      <w:pPr>
        <w:spacing w:after="0" w:line="19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“Businesses spend significant resources annually on their contact centers, but still struggle to deliver a seamless experience for their customers,” said Rowan Trollope, Chief Executive Officer of Five9. “It has always been Five9’s mission to make it easy for businesses to fix that problem and engage with their customers in a more meaningful and efficient way. Joining forces with Zoom will provide Five9’s business customers access to best-of-breed solutions, particularly Zoom Phone, that will enable them to realize more value and deliver real results for their business. This, combined with Zoom’s ‘ease-of use’ philosophy and broad communication portfolio, will truly enable customers to engage via their preferred channel of choice.”</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Zoom’s acquisition of Five9 is complementary to the growing popularity of its Zoom Phone offering. Zoom Phone is a modern, cloud phone system that offers a digital alternative to legacy phone offerings, enabling organizations to connect and interact in new and convenient ways to keep businesses moving.</w:t>
      </w:r>
    </w:p>
    <w:p>
      <w:pPr>
        <w:spacing w:after="0" w:line="184"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The combination also offers both companies significant cross-selling opportunities to each other’s respective customer bases. As a result of the acquisition, Zoom will play an even greater role in driving the digital future and bringing companies and their customers closer together.</w:t>
      </w:r>
    </w:p>
    <w:p>
      <w:pPr>
        <w:sectPr>
          <w:pgSz w:w="11900" w:h="16838" w:orient="portrait"/>
          <w:cols w:equalWidth="0" w:num="1">
            <w:col w:w="11020"/>
          </w:cols>
          <w:pgMar w:left="440" w:top="121" w:right="439" w:bottom="1440" w:gutter="0" w:footer="0" w:header="0"/>
        </w:sectPr>
      </w:pPr>
    </w:p>
    <w:bookmarkStart w:id="108" w:name="page109"/>
    <w:bookmarkEnd w:id="108"/>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close of the transaction, Five9 will be an operating unit of Zoom and Rowan Trollope will become a President of Zoom and continue as CEO of Five9, reporting to Eric Yuan.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on the Proposed Transaction</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part of the agreement, Five9 stockholders will receive 0.5533 shares of Class A common stock of Zoom Video Communications, Inc. for each share of Five9, Inc. Based on the closing share price of Zoom Class A common stock as of July 16, 2021, this represents a per share price for Five9 common stock of $200.28 and an implied transaction value of approximately $14.7 billion.</w:t>
      </w:r>
    </w:p>
    <w:p>
      <w:pPr>
        <w:spacing w:after="0" w:line="18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Boards of Directors of Zoom and Five9 have approved the transaction. The Board of Directors of Five9 recommends that Five9 stockholders approve the transaction and adopt the merger agreement. The transaction, which is anticipated to close in the first half of calendar year 2022, is subject to approval by Five9 stockholders, the receipt of required regulatory approvals and other customary closing conditions.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details and information about the terms and conditions of the acquisition will be available in current reports on Form 8-K to be filed by Zoom and Five9 with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Goldman Sachs &amp; Co. LLC is serving as exclusive financial advisor and Cooley LLP is serving as legal counsel to Zoom. Qatalyst Partners is serving as exclusive financial advisor and Latham and Watkins LLP is serving as legal counsel to Five9.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Conference Call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Zoom and Five9 will host a Zoom Video Webinar for investors on Monday, July 19, 2021 at 5:30 am Pacific Time / 8:30 am Eastern Time. Investors are invited to join the Zoom Video Webinar by visiting: </w:t>
      </w:r>
      <w:r>
        <w:rPr>
          <w:rFonts w:ascii="Arial" w:cs="Arial" w:eastAsia="Arial" w:hAnsi="Arial"/>
          <w:sz w:val="17"/>
          <w:szCs w:val="17"/>
          <w:u w:val="single" w:color="auto"/>
          <w:color w:val="auto"/>
        </w:rPr>
        <w:t>https://investors.zoom.us/</w:t>
      </w:r>
      <w:r>
        <w:rPr>
          <w:rFonts w:ascii="Arial" w:cs="Arial" w:eastAsia="Arial" w:hAnsi="Arial"/>
          <w:sz w:val="17"/>
          <w:szCs w:val="17"/>
          <w:color w:val="auto"/>
        </w:rPr>
        <w:t>. A replay will be available shortly after the call ends.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Zoom</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Zoom is for you. We help you express ideas, connect to others, and build toward a future limited only by your imagination. Our frictionless communications platform is the only one that started with video as its foundation, and we have set the standard for innovation ever since. That is why we are an intuitive, scalable, and secure choice for individuals, small businesses, and large enterprises alike. Founded in 2011, Zoom is publicly traded (NASDAQ: ZM) and headquartered in San Jose, California. Visit </w:t>
      </w:r>
      <w:r>
        <w:rPr>
          <w:rFonts w:ascii="Arial" w:cs="Arial" w:eastAsia="Arial" w:hAnsi="Arial"/>
          <w:sz w:val="17"/>
          <w:szCs w:val="17"/>
          <w:u w:val="single" w:color="auto"/>
          <w:color w:val="auto"/>
        </w:rPr>
        <w:t>zoom.com</w:t>
      </w:r>
      <w:r>
        <w:rPr>
          <w:rFonts w:ascii="Arial" w:cs="Arial" w:eastAsia="Arial" w:hAnsi="Arial"/>
          <w:sz w:val="17"/>
          <w:szCs w:val="17"/>
          <w:color w:val="auto"/>
        </w:rPr>
        <w:t xml:space="preserve"> and follow </w:t>
      </w:r>
      <w:r>
        <w:rPr>
          <w:rFonts w:ascii="Arial" w:cs="Arial" w:eastAsia="Arial" w:hAnsi="Arial"/>
          <w:sz w:val="17"/>
          <w:szCs w:val="17"/>
          <w:u w:val="single" w:color="auto"/>
          <w:color w:val="auto"/>
        </w:rPr>
        <w:t>@zoom</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Five9</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Five9 is an industry-leading provider of cloud contact center solutions, bringing the power of cloud innovation to more than 2,000 customers worldwide and facilitating billions of customer engagements annually. The Five9 Intelligent Cloud Contact Center provides digital engagement, analytics, workflow automation, workforce optimization, and practical AI to help customers reimagine their customer experience. Designed to be reliable, secure, compliant, and scalable, the Five9 platform helps increase agent and supervisor productivity, connects the contact center to the business, and ultimately deliver tangible business results including increased revenue and enhanced customer trust and loyalty.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ectPr>
          <w:pgSz w:w="11900" w:h="16838" w:orient="portrait"/>
          <w:cols w:equalWidth="0" w:num="1">
            <w:col w:w="11000"/>
          </w:cols>
          <w:pgMar w:left="440" w:top="274" w:right="459" w:bottom="1440" w:gutter="0" w:footer="0" w:header="0"/>
        </w:sectPr>
      </w:pPr>
    </w:p>
    <w:bookmarkStart w:id="109" w:name="page110"/>
    <w:bookmarkEnd w:id="10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w:t>
      </w:r>
    </w:p>
    <w:p>
      <w:pPr>
        <w:sectPr>
          <w:pgSz w:w="11900" w:h="16838" w:orient="portrait"/>
          <w:cols w:equalWidth="0" w:num="1">
            <w:col w:w="11000"/>
          </w:cols>
          <w:pgMar w:left="440" w:top="274" w:right="459" w:bottom="1440" w:gutter="0" w:footer="0" w:header="0"/>
        </w:sectPr>
      </w:pPr>
    </w:p>
    <w:bookmarkStart w:id="110" w:name="page111"/>
    <w:bookmarkEnd w:id="110"/>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website at </w:t>
      </w:r>
      <w:r>
        <w:rPr>
          <w:rFonts w:ascii="Arial" w:cs="Arial" w:eastAsia="Arial" w:hAnsi="Arial"/>
          <w:sz w:val="18"/>
          <w:szCs w:val="18"/>
          <w:u w:val="single" w:color="auto"/>
          <w:color w:val="auto"/>
        </w:rPr>
        <w:t>https://investors.Zoom.us/</w:t>
      </w:r>
      <w:r>
        <w:rPr>
          <w:rFonts w:ascii="Arial" w:cs="Arial" w:eastAsia="Arial" w:hAnsi="Arial"/>
          <w:sz w:val="18"/>
          <w:szCs w:val="18"/>
          <w:color w:val="auto"/>
        </w:rPr>
        <w:t xml:space="preserve">. Copies of the documents filed with the SEC by Five9 will be available free of charge under the Financials &amp; Filings heading of the Investor Relations section of Five9’s website at </w:t>
      </w:r>
      <w:r>
        <w:rPr>
          <w:rFonts w:ascii="Arial" w:cs="Arial" w:eastAsia="Arial" w:hAnsi="Arial"/>
          <w:sz w:val="18"/>
          <w:szCs w:val="18"/>
          <w:u w:val="single" w:color="auto"/>
          <w:color w:val="auto"/>
        </w:rPr>
        <w:t>https://investors.five9.com/</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Press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Colleen Rodriguez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Media Relations Lead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press@zoom.us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Tom McCallum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investors@zoom.us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Five9 Press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Allison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352-502-9539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allison.wilson@five9.com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Five9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Barry Zwarenstein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925-201-2000 ext. 5959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ir@five9.com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 for Five9,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Laukkanen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415-217-4967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lisa@blueshirtgroup.com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1)"/>
      <w:numFmt w:val="lowerLetter"/>
      <w:start w:val="1"/>
    </w:lvl>
  </w:abstractNum>
  <w:abstractNum w:abstractNumId="5">
    <w:nsid w:val="5DB70AE5"/>
    <w:multiLevelType w:val="hybridMultilevel"/>
    <w:lvl w:ilvl="0">
      <w:lvlJc w:val="left"/>
      <w:lvlText w:val="(%1)"/>
      <w:numFmt w:val="lowerLetter"/>
      <w:start w:val="4"/>
    </w:lvl>
  </w:abstractNum>
  <w:abstractNum w:abstractNumId="6">
    <w:nsid w:val="100F8FCA"/>
    <w:multiLevelType w:val="hybridMultilevel"/>
    <w:lvl w:ilvl="0">
      <w:lvlJc w:val="left"/>
      <w:lvlText w:val="(%1)"/>
      <w:numFmt w:val="lowerLetter"/>
      <w:start w:val="1"/>
    </w:lvl>
  </w:abstractNum>
  <w:abstractNum w:abstractNumId="7">
    <w:nsid w:val="6590700B"/>
    <w:multiLevelType w:val="hybridMultilevel"/>
    <w:lvl w:ilvl="0">
      <w:lvlJc w:val="left"/>
      <w:lvlText w:val="(%1)"/>
      <w:numFmt w:val="lowerLetter"/>
      <w:start w:val="2"/>
    </w:lvl>
    <w:lvl w:ilvl="1">
      <w:lvlJc w:val="left"/>
      <w:lvlText w:val="(%2)"/>
      <w:numFmt w:val="lowerRoman"/>
      <w:start w:val="1"/>
    </w:lvl>
  </w:abstractNum>
  <w:abstractNum w:abstractNumId="8">
    <w:nsid w:val="15014ACB"/>
    <w:multiLevelType w:val="hybridMultilevel"/>
    <w:lvl w:ilvl="0">
      <w:lvlJc w:val="left"/>
      <w:lvlText w:val="%1"/>
      <w:numFmt w:val="lowerLetter"/>
      <w:start w:val="1"/>
    </w:lvl>
    <w:lvl w:ilvl="1">
      <w:lvlJc w:val="left"/>
      <w:lvlText w:val="(%2)"/>
      <w:numFmt w:val="lowerLetter"/>
      <w:start w:val="61"/>
    </w:lvl>
  </w:abstractNum>
  <w:abstractNum w:abstractNumId="9">
    <w:nsid w:val="5F5E7FD0"/>
    <w:multiLevelType w:val="hybridMultilevel"/>
    <w:lvl w:ilvl="0">
      <w:lvlJc w:val="left"/>
      <w:lvlText w:val="(%1)"/>
      <w:numFmt w:val="lowerLetter"/>
      <w:start w:val="3"/>
    </w:lvl>
    <w:lvl w:ilvl="1">
      <w:lvlJc w:val="left"/>
      <w:lvlText w:val="%2"/>
      <w:numFmt w:val="lowerLetter"/>
      <w:start w:val="1"/>
    </w:lvl>
  </w:abstractNum>
  <w:abstractNum w:abstractNumId="10">
    <w:nsid w:val="98A3148"/>
    <w:multiLevelType w:val="hybridMultilevel"/>
    <w:lvl w:ilvl="0">
      <w:lvlJc w:val="left"/>
      <w:lvlText w:val="(%1)"/>
      <w:numFmt w:val="lowerLetter"/>
      <w:start w:val="6"/>
    </w:lvl>
  </w:abstractNum>
  <w:abstractNum w:abstractNumId="11">
    <w:nsid w:val="799D0247"/>
    <w:multiLevelType w:val="hybridMultilevel"/>
    <w:lvl w:ilvl="0">
      <w:lvlJc w:val="left"/>
      <w:lvlText w:val="%1"/>
      <w:numFmt w:val="lowerLetter"/>
      <w:start w:val="1"/>
    </w:lvl>
    <w:lvl w:ilvl="1">
      <w:lvlJc w:val="left"/>
      <w:lvlText w:val="(%2)"/>
      <w:numFmt w:val="lowerLetter"/>
      <w:start w:val="1"/>
    </w:lvl>
  </w:abstractNum>
  <w:abstractNum w:abstractNumId="12">
    <w:nsid w:val="6B94764"/>
    <w:multiLevelType w:val="hybridMultilevel"/>
    <w:lvl w:ilvl="0">
      <w:lvlJc w:val="left"/>
      <w:lvlText w:val="(%1)"/>
      <w:numFmt w:val="lowerLetter"/>
      <w:start w:val="35"/>
    </w:lvl>
    <w:lvl w:ilvl="1">
      <w:lvlJc w:val="left"/>
      <w:lvlText w:val="%2"/>
      <w:numFmt w:val="lowerLetter"/>
      <w:start w:val="1"/>
    </w:lvl>
  </w:abstractNum>
  <w:abstractNum w:abstractNumId="13">
    <w:nsid w:val="42C296BD"/>
    <w:multiLevelType w:val="hybridMultilevel"/>
    <w:lvl w:ilvl="0">
      <w:lvlJc w:val="left"/>
      <w:lvlText w:val="(%1)"/>
      <w:numFmt w:val="lowerLetter"/>
      <w:start w:val="4"/>
    </w:lvl>
  </w:abstractNum>
  <w:abstractNum w:abstractNumId="14">
    <w:nsid w:val="168E121F"/>
    <w:multiLevelType w:val="hybridMultilevel"/>
    <w:lvl w:ilvl="0">
      <w:lvlJc w:val="left"/>
      <w:lvlText w:val="(%1)"/>
      <w:numFmt w:val="lowerLetter"/>
      <w:start w:val="1"/>
    </w:lvl>
  </w:abstractNum>
  <w:abstractNum w:abstractNumId="15">
    <w:nsid w:val="1EBA5D23"/>
    <w:multiLevelType w:val="hybridMultilevel"/>
    <w:lvl w:ilvl="0">
      <w:lvlJc w:val="left"/>
      <w:lvlText w:val="%1"/>
      <w:numFmt w:val="upperLetter"/>
      <w:start w:val="1"/>
    </w:lvl>
    <w:lvl w:ilvl="1">
      <w:lvlJc w:val="left"/>
      <w:lvlText w:val="(%2)"/>
      <w:numFmt w:val="lowerLetter"/>
      <w:start w:val="1"/>
    </w:lvl>
  </w:abstractNum>
  <w:abstractNum w:abstractNumId="16">
    <w:nsid w:val="661E3F1E"/>
    <w:multiLevelType w:val="hybridMultilevel"/>
    <w:lvl w:ilvl="0">
      <w:lvlJc w:val="left"/>
      <w:lvlText w:val="(%1)"/>
      <w:numFmt w:val="upperLetter"/>
      <w:start w:val="3"/>
    </w:lvl>
    <w:lvl w:ilvl="1">
      <w:lvlJc w:val="left"/>
      <w:lvlText w:val="%2"/>
      <w:numFmt w:val="lowerLetter"/>
      <w:start w:val="1"/>
    </w:lvl>
  </w:abstractNum>
  <w:abstractNum w:abstractNumId="17">
    <w:nsid w:val="5DC79EA8"/>
    <w:multiLevelType w:val="hybridMultilevel"/>
    <w:lvl w:ilvl="0">
      <w:lvlJc w:val="left"/>
      <w:lvlText w:val="(%1)"/>
      <w:numFmt w:val="lowerRoman"/>
      <w:start w:val="4"/>
    </w:lvl>
  </w:abstractNum>
  <w:abstractNum w:abstractNumId="18">
    <w:nsid w:val="540A471C"/>
    <w:multiLevelType w:val="hybridMultilevel"/>
    <w:lvl w:ilvl="0">
      <w:lvlJc w:val="left"/>
      <w:lvlText w:val="%1"/>
      <w:numFmt w:val="lowerLetter"/>
      <w:start w:val="1"/>
    </w:lvl>
    <w:lvl w:ilvl="1">
      <w:lvlJc w:val="left"/>
      <w:lvlText w:val="(%2)"/>
      <w:numFmt w:val="lowerLetter"/>
      <w:start w:val="2"/>
    </w:lvl>
  </w:abstractNum>
  <w:abstractNum w:abstractNumId="19">
    <w:nsid w:val="7BD3EE7B"/>
    <w:multiLevelType w:val="hybridMultilevel"/>
    <w:lvl w:ilvl="0">
      <w:lvlJc w:val="left"/>
      <w:lvlText w:val="(%1)"/>
      <w:numFmt w:val="lowerLetter"/>
      <w:start w:val="9"/>
    </w:lvl>
    <w:lvl w:ilvl="1">
      <w:lvlJc w:val="left"/>
      <w:lvlText w:val="(%2)"/>
      <w:numFmt w:val="lowerLetter"/>
      <w:start w:val="3"/>
    </w:lvl>
  </w:abstractNum>
  <w:abstractNum w:abstractNumId="20">
    <w:nsid w:val="51D9C564"/>
    <w:multiLevelType w:val="hybridMultilevel"/>
    <w:lvl w:ilvl="0">
      <w:lvlJc w:val="left"/>
      <w:lvlText w:val="(%1)"/>
      <w:numFmt w:val="upperLetter"/>
      <w:start w:val="3"/>
    </w:lvl>
    <w:lvl w:ilvl="1">
      <w:lvlJc w:val="left"/>
      <w:lvlText w:val="(%2)"/>
      <w:numFmt w:val="lowerLetter"/>
      <w:start w:val="4"/>
    </w:lvl>
  </w:abstractNum>
  <w:abstractNum w:abstractNumId="21">
    <w:nsid w:val="613EFDC5"/>
    <w:multiLevelType w:val="hybridMultilevel"/>
    <w:lvl w:ilvl="0">
      <w:lvlJc w:val="left"/>
      <w:lvlText w:val="(%1)"/>
      <w:numFmt w:val="lowerLetter"/>
      <w:start w:val="1"/>
    </w:lvl>
  </w:abstractNum>
  <w:abstractNum w:abstractNumId="22">
    <w:nsid w:val="BF72B14"/>
    <w:multiLevelType w:val="hybridMultilevel"/>
    <w:lvl w:ilvl="0">
      <w:lvlJc w:val="left"/>
      <w:lvlText w:val="(%1)"/>
      <w:numFmt w:val="lowerLetter"/>
      <w:start w:val="2"/>
    </w:lvl>
  </w:abstractNum>
  <w:abstractNum w:abstractNumId="23">
    <w:nsid w:val="11447B73"/>
    <w:multiLevelType w:val="hybridMultilevel"/>
    <w:lvl w:ilvl="0">
      <w:lvlJc w:val="left"/>
      <w:lvlText w:val="%1"/>
      <w:numFmt w:val="lowerLetter"/>
      <w:start w:val="1"/>
    </w:lvl>
    <w:lvl w:ilvl="1">
      <w:lvlJc w:val="left"/>
      <w:lvlText w:val="(%2)"/>
      <w:numFmt w:val="lowerLetter"/>
      <w:start w:val="1"/>
    </w:lvl>
  </w:abstractNum>
  <w:abstractNum w:abstractNumId="24">
    <w:nsid w:val="42963E5A"/>
    <w:multiLevelType w:val="hybridMultilevel"/>
    <w:lvl w:ilvl="0">
      <w:lvlJc w:val="left"/>
      <w:lvlText w:val="(%1)"/>
      <w:numFmt w:val="lowerLetter"/>
      <w:start w:val="9"/>
    </w:lvl>
    <w:lvl w:ilvl="1">
      <w:lvlJc w:val="left"/>
      <w:lvlText w:val="%2"/>
      <w:numFmt w:val="lowerLetter"/>
      <w:start w:val="1"/>
    </w:lvl>
  </w:abstractNum>
  <w:abstractNum w:abstractNumId="25">
    <w:nsid w:val="A0382C5"/>
    <w:multiLevelType w:val="hybridMultilevel"/>
    <w:lvl w:ilvl="0">
      <w:lvlJc w:val="left"/>
      <w:lvlText w:val="(%1)"/>
      <w:numFmt w:val="lowerLetter"/>
      <w:start w:val="1"/>
    </w:lvl>
  </w:abstractNum>
  <w:abstractNum w:abstractNumId="26">
    <w:nsid w:val="8F2B15E"/>
    <w:multiLevelType w:val="hybridMultilevel"/>
    <w:lvl w:ilvl="0">
      <w:lvlJc w:val="left"/>
      <w:lvlText w:val="(%1)"/>
      <w:numFmt w:val="lowerLetter"/>
      <w:start w:val="3"/>
    </w:lvl>
  </w:abstractNum>
  <w:abstractNum w:abstractNumId="27">
    <w:nsid w:val="1A32234B"/>
    <w:multiLevelType w:val="hybridMultilevel"/>
    <w:lvl w:ilvl="0">
      <w:lvlJc w:val="left"/>
      <w:lvlText w:val="(%1)"/>
      <w:numFmt w:val="lowerLetter"/>
      <w:start w:val="1"/>
    </w:lvl>
  </w:abstractNum>
  <w:abstractNum w:abstractNumId="28">
    <w:nsid w:val="3B0FD379"/>
    <w:multiLevelType w:val="hybridMultilevel"/>
    <w:lvl w:ilvl="0">
      <w:lvlJc w:val="left"/>
      <w:lvlText w:val="(%1)"/>
      <w:numFmt w:val="lowerLetter"/>
      <w:start w:val="1"/>
    </w:lvl>
  </w:abstractNum>
  <w:abstractNum w:abstractNumId="29">
    <w:nsid w:val="68EB2F63"/>
    <w:multiLevelType w:val="hybridMultilevel"/>
    <w:lvl w:ilvl="0">
      <w:lvlJc w:val="left"/>
      <w:lvlText w:val="(%1)"/>
      <w:numFmt w:val="lowerLetter"/>
      <w:start w:val="2"/>
    </w:lvl>
  </w:abstractNum>
  <w:abstractNum w:abstractNumId="30">
    <w:nsid w:val="4962813B"/>
    <w:multiLevelType w:val="hybridMultilevel"/>
    <w:lvl w:ilvl="0">
      <w:lvlJc w:val="left"/>
      <w:lvlText w:val="(%1)"/>
      <w:numFmt w:val="lowerLetter"/>
      <w:start w:val="5"/>
    </w:lvl>
  </w:abstractNum>
  <w:abstractNum w:abstractNumId="31">
    <w:nsid w:val="60B6DF70"/>
    <w:multiLevelType w:val="hybridMultilevel"/>
    <w:lvl w:ilvl="0">
      <w:lvlJc w:val="left"/>
      <w:lvlText w:val="(%1)"/>
      <w:numFmt w:val="lowerLetter"/>
      <w:start w:val="9"/>
    </w:lvl>
  </w:abstractNum>
  <w:abstractNum w:abstractNumId="32">
    <w:nsid w:val="6A5EE64"/>
    <w:multiLevelType w:val="hybridMultilevel"/>
    <w:lvl w:ilvl="0">
      <w:lvlJc w:val="left"/>
      <w:lvlText w:val="(%1)"/>
      <w:numFmt w:val="lowerLetter"/>
      <w:start w:val="1"/>
    </w:lvl>
  </w:abstractNum>
  <w:abstractNum w:abstractNumId="33">
    <w:nsid w:val="14330624"/>
    <w:multiLevelType w:val="hybridMultilevel"/>
    <w:lvl w:ilvl="0">
      <w:lvlJc w:val="left"/>
      <w:lvlText w:val="(%1)"/>
      <w:numFmt w:val="lowerLetter"/>
      <w:start w:val="2"/>
    </w:lvl>
  </w:abstractNum>
  <w:abstractNum w:abstractNumId="34">
    <w:nsid w:val="7FFFCA11"/>
    <w:multiLevelType w:val="hybridMultilevel"/>
    <w:lvl w:ilvl="0">
      <w:lvlJc w:val="left"/>
      <w:lvlText w:val="%1"/>
      <w:numFmt w:val="lowerLetter"/>
      <w:start w:val="1"/>
    </w:lvl>
    <w:lvl w:ilvl="1">
      <w:lvlJc w:val="left"/>
      <w:lvlText w:val="(%2)"/>
      <w:numFmt w:val="lowerLetter"/>
      <w:start w:val="5"/>
    </w:lvl>
  </w:abstractNum>
  <w:abstractNum w:abstractNumId="35">
    <w:nsid w:val="1A27709E"/>
    <w:multiLevelType w:val="hybridMultilevel"/>
    <w:lvl w:ilvl="0">
      <w:lvlJc w:val="left"/>
      <w:lvlText w:val="(%1)"/>
      <w:numFmt w:val="lowerLetter"/>
      <w:start w:val="61"/>
    </w:lvl>
    <w:lvl w:ilvl="1">
      <w:lvlJc w:val="left"/>
      <w:lvlText w:val="(%2)"/>
      <w:numFmt w:val="lowerLetter"/>
      <w:start w:val="8"/>
    </w:lvl>
  </w:abstractNum>
  <w:abstractNum w:abstractNumId="36">
    <w:nsid w:val="71EA1109"/>
    <w:multiLevelType w:val="hybridMultilevel"/>
    <w:lvl w:ilvl="0">
      <w:lvlJc w:val="left"/>
      <w:lvlText w:val="(%1)"/>
      <w:numFmt w:val="lowerLetter"/>
      <w:start w:val="61"/>
    </w:lvl>
    <w:lvl w:ilvl="1">
      <w:lvlJc w:val="left"/>
      <w:lvlText w:val="(%2)"/>
      <w:numFmt w:val="lowerLetter"/>
      <w:start w:val="9"/>
    </w:lvl>
  </w:abstractNum>
  <w:abstractNum w:abstractNumId="37">
    <w:nsid w:val="100F59DC"/>
    <w:multiLevelType w:val="hybridMultilevel"/>
    <w:lvl w:ilvl="0">
      <w:lvlJc w:val="left"/>
      <w:lvlText w:val="(%1)"/>
      <w:numFmt w:val="lowerLetter"/>
      <w:start w:val="1"/>
    </w:lvl>
  </w:abstractNum>
  <w:abstractNum w:abstractNumId="38">
    <w:nsid w:val="7FB7E0AA"/>
    <w:multiLevelType w:val="hybridMultilevel"/>
    <w:lvl w:ilvl="0">
      <w:lvlJc w:val="left"/>
      <w:lvlText w:val="(%1)"/>
      <w:numFmt w:val="lowerLetter"/>
      <w:start w:val="1"/>
    </w:lvl>
  </w:abstractNum>
  <w:abstractNum w:abstractNumId="39">
    <w:nsid w:val="6EB5BD4"/>
    <w:multiLevelType w:val="hybridMultilevel"/>
    <w:lvl w:ilvl="0">
      <w:lvlJc w:val="left"/>
      <w:lvlText w:val="(%1)"/>
      <w:numFmt w:val="lowerLetter"/>
      <w:start w:val="4"/>
    </w:lvl>
  </w:abstractNum>
  <w:abstractNum w:abstractNumId="40">
    <w:nsid w:val="6F6DD9AC"/>
    <w:multiLevelType w:val="hybridMultilevel"/>
    <w:lvl w:ilvl="0">
      <w:lvlJc w:val="left"/>
      <w:lvlText w:val="(%1)"/>
      <w:numFmt w:val="lowerLetter"/>
      <w:start w:val="11"/>
    </w:lvl>
  </w:abstractNum>
  <w:abstractNum w:abstractNumId="41">
    <w:nsid w:val="94211F2"/>
    <w:multiLevelType w:val="hybridMultilevel"/>
    <w:lvl w:ilvl="0">
      <w:lvlJc w:val="left"/>
      <w:lvlText w:val="%1"/>
      <w:numFmt w:val="lowerLetter"/>
      <w:start w:val="1"/>
    </w:lvl>
    <w:lvl w:ilvl="1">
      <w:lvlJc w:val="left"/>
      <w:lvlText w:val="(%2)"/>
      <w:numFmt w:val="lowerLetter"/>
      <w:start w:val="1"/>
    </w:lvl>
  </w:abstractNum>
  <w:abstractNum w:abstractNumId="42">
    <w:nsid w:val="885E1B"/>
    <w:multiLevelType w:val="hybridMultilevel"/>
    <w:lvl w:ilvl="0">
      <w:lvlJc w:val="left"/>
      <w:lvlText w:val="(%1)"/>
      <w:numFmt w:val="lowerLetter"/>
      <w:start w:val="22"/>
    </w:lvl>
    <w:lvl w:ilvl="1">
      <w:lvlJc w:val="left"/>
      <w:lvlText w:val="(%2)"/>
      <w:numFmt w:val="lowerLetter"/>
      <w:start w:val="2"/>
    </w:lvl>
  </w:abstractNum>
  <w:abstractNum w:abstractNumId="43">
    <w:nsid w:val="76272110"/>
    <w:multiLevelType w:val="hybridMultilevel"/>
    <w:lvl w:ilvl="0">
      <w:lvlJc w:val="left"/>
      <w:lvlText w:val="(%1)"/>
      <w:numFmt w:val="lowerLetter"/>
      <w:start w:val="6"/>
    </w:lvl>
  </w:abstractNum>
  <w:abstractNum w:abstractNumId="44">
    <w:nsid w:val="4C04A8AF"/>
    <w:multiLevelType w:val="hybridMultilevel"/>
    <w:lvl w:ilvl="0">
      <w:lvlJc w:val="left"/>
      <w:lvlText w:val="%1"/>
      <w:numFmt w:val="lowerLetter"/>
      <w:start w:val="1"/>
    </w:lvl>
    <w:lvl w:ilvl="1">
      <w:lvlJc w:val="left"/>
      <w:lvlText w:val="(%2)"/>
      <w:numFmt w:val="lowerLetter"/>
      <w:start w:val="10"/>
    </w:lvl>
  </w:abstractNum>
  <w:abstractNum w:abstractNumId="45">
    <w:nsid w:val="1716703B"/>
    <w:multiLevelType w:val="hybridMultilevel"/>
    <w:lvl w:ilvl="0">
      <w:lvlJc w:val="left"/>
      <w:lvlText w:val="(%1)"/>
      <w:numFmt w:val="lowerLetter"/>
      <w:start w:val="35"/>
    </w:lvl>
    <w:lvl w:ilvl="1">
      <w:lvlJc w:val="left"/>
      <w:lvlText w:val="%2"/>
      <w:numFmt w:val="lowerLetter"/>
      <w:start w:val="1"/>
    </w:lvl>
  </w:abstractNum>
  <w:abstractNum w:abstractNumId="46">
    <w:nsid w:val="14E17E33"/>
    <w:multiLevelType w:val="hybridMultilevel"/>
    <w:lvl w:ilvl="0">
      <w:lvlJc w:val="left"/>
      <w:lvlText w:val="(%1)"/>
      <w:numFmt w:val="lowerLetter"/>
      <w:start w:val="1"/>
    </w:lvl>
  </w:abstractNum>
  <w:abstractNum w:abstractNumId="47">
    <w:nsid w:val="3222E7CD"/>
    <w:multiLevelType w:val="hybridMultilevel"/>
    <w:lvl w:ilvl="0">
      <w:lvlJc w:val="left"/>
      <w:lvlText w:val="%1"/>
      <w:numFmt w:val="lowerLetter"/>
      <w:start w:val="1"/>
    </w:lvl>
    <w:lvl w:ilvl="1">
      <w:lvlJc w:val="left"/>
      <w:lvlText w:val="(%2)"/>
      <w:numFmt w:val="lowerLetter"/>
      <w:start w:val="3"/>
    </w:lvl>
  </w:abstractNum>
  <w:abstractNum w:abstractNumId="48">
    <w:nsid w:val="74DE0EE3"/>
    <w:multiLevelType w:val="hybridMultilevel"/>
    <w:lvl w:ilvl="0">
      <w:lvlJc w:val="left"/>
      <w:lvlText w:val="(%1)"/>
      <w:numFmt w:val="lowerLetter"/>
      <w:start w:val="35"/>
    </w:lvl>
    <w:lvl w:ilvl="1">
      <w:lvlJc w:val="left"/>
      <w:lvlText w:val="(%2)"/>
      <w:numFmt w:val="lowerLetter"/>
      <w:start w:val="5"/>
    </w:lvl>
  </w:abstractNum>
  <w:abstractNum w:abstractNumId="49">
    <w:nsid w:val="68EBC550"/>
    <w:multiLevelType w:val="hybridMultilevel"/>
    <w:lvl w:ilvl="0">
      <w:lvlJc w:val="left"/>
      <w:lvlText w:val="(%1)"/>
      <w:numFmt w:val="lowerLetter"/>
      <w:start w:val="1"/>
    </w:lvl>
    <w:lvl w:ilvl="1">
      <w:lvlJc w:val="left"/>
      <w:lvlText w:val="(%2)"/>
      <w:numFmt w:val="lowerRoman"/>
      <w:start w:val="1"/>
    </w:lvl>
  </w:abstractNum>
  <w:abstractNum w:abstractNumId="50">
    <w:nsid w:val="2DF6D648"/>
    <w:multiLevelType w:val="hybridMultilevel"/>
    <w:lvl w:ilvl="0">
      <w:lvlJc w:val="left"/>
      <w:lvlText w:val="(%1)"/>
      <w:numFmt w:val="lowerRoman"/>
      <w:start w:val="3"/>
    </w:lvl>
  </w:abstractNum>
  <w:abstractNum w:abstractNumId="51">
    <w:nsid w:val="46B7D447"/>
    <w:multiLevelType w:val="hybridMultilevel"/>
    <w:lvl w:ilvl="0">
      <w:lvlJc w:val="left"/>
      <w:lvlText w:val="(%1)"/>
      <w:numFmt w:val="lowerRoman"/>
      <w:start w:val="13"/>
    </w:lvl>
  </w:abstractNum>
  <w:abstractNum w:abstractNumId="52">
    <w:nsid w:val="4A2AC315"/>
    <w:multiLevelType w:val="hybridMultilevel"/>
    <w:lvl w:ilvl="0">
      <w:lvlJc w:val="left"/>
      <w:lvlText w:val="(%1)"/>
      <w:numFmt w:val="lowerLetter"/>
      <w:start w:val="2"/>
    </w:lvl>
  </w:abstractNum>
  <w:abstractNum w:abstractNumId="53">
    <w:nsid w:val="39EE015C"/>
    <w:multiLevelType w:val="hybridMultilevel"/>
    <w:lvl w:ilvl="0">
      <w:lvlJc w:val="left"/>
      <w:lvlText w:val="%1"/>
      <w:numFmt w:val="lowerLetter"/>
      <w:start w:val="1"/>
    </w:lvl>
    <w:lvl w:ilvl="1">
      <w:lvlJc w:val="left"/>
      <w:lvlText w:val="(%2)"/>
      <w:numFmt w:val="lowerLetter"/>
      <w:start w:val="3"/>
    </w:lvl>
  </w:abstractNum>
  <w:abstractNum w:abstractNumId="54">
    <w:nsid w:val="57FC4FBB"/>
    <w:multiLevelType w:val="hybridMultilevel"/>
    <w:lvl w:ilvl="0">
      <w:lvlJc w:val="left"/>
      <w:lvlText w:val="(%1)"/>
      <w:numFmt w:val="lowerLetter"/>
      <w:start w:val="61"/>
    </w:lvl>
    <w:lvl w:ilvl="1">
      <w:lvlJc w:val="left"/>
      <w:lvlText w:val="(%2)"/>
      <w:numFmt w:val="lowerLetter"/>
      <w:start w:val="5"/>
    </w:lvl>
  </w:abstractNum>
  <w:abstractNum w:abstractNumId="55">
    <w:nsid w:val="CC1016F"/>
    <w:multiLevelType w:val="hybridMultilevel"/>
    <w:lvl w:ilvl="0">
      <w:lvlJc w:val="left"/>
      <w:lvlText w:val="(%1)"/>
      <w:numFmt w:val="lowerRoman"/>
      <w:start w:val="6"/>
    </w:lvl>
  </w:abstractNum>
  <w:abstractNum w:abstractNumId="56">
    <w:nsid w:val="43F18422"/>
    <w:multiLevelType w:val="hybridMultilevel"/>
    <w:lvl w:ilvl="0">
      <w:lvlJc w:val="left"/>
      <w:lvlText w:val="(%1)"/>
      <w:numFmt w:val="lowerLetter"/>
      <w:start w:val="1"/>
    </w:lvl>
  </w:abstractNum>
  <w:abstractNum w:abstractNumId="57">
    <w:nsid w:val="60EF0119"/>
    <w:multiLevelType w:val="hybridMultilevel"/>
    <w:lvl w:ilvl="0">
      <w:lvlJc w:val="left"/>
      <w:lvlText w:val="(%1)"/>
      <w:numFmt w:val="lowerLetter"/>
      <w:start w:val="2"/>
    </w:lvl>
  </w:abstractNum>
  <w:abstractNum w:abstractNumId="58">
    <w:nsid w:val="26F324BA"/>
    <w:multiLevelType w:val="hybridMultilevel"/>
    <w:lvl w:ilvl="0">
      <w:lvlJc w:val="left"/>
      <w:lvlText w:val="%1"/>
      <w:numFmt w:val="upperLetter"/>
      <w:start w:val="1"/>
    </w:lvl>
    <w:lvl w:ilvl="1">
      <w:lvlJc w:val="left"/>
      <w:lvlText w:val="(%2)"/>
      <w:numFmt w:val="lowerLetter"/>
      <w:start w:val="1"/>
    </w:lvl>
  </w:abstractNum>
  <w:abstractNum w:abstractNumId="59">
    <w:nsid w:val="7F01579B"/>
    <w:multiLevelType w:val="hybridMultilevel"/>
    <w:lvl w:ilvl="0">
      <w:lvlJc w:val="left"/>
      <w:lvlText w:val="(%1)"/>
      <w:numFmt w:val="upperLetter"/>
      <w:start w:val="1"/>
    </w:lvl>
    <w:lvl w:ilvl="1">
      <w:lvlJc w:val="left"/>
      <w:lvlText w:val="(%2)"/>
      <w:numFmt w:val="lowerLetter"/>
      <w:start w:val="2"/>
    </w:lvl>
  </w:abstractNum>
  <w:abstractNum w:abstractNumId="60">
    <w:nsid w:val="49DA307D"/>
    <w:multiLevelType w:val="hybridMultilevel"/>
    <w:lvl w:ilvl="0">
      <w:lvlJc w:val="left"/>
      <w:lvlText w:val="(%1)"/>
      <w:numFmt w:val="lowerLetter"/>
      <w:start w:val="5"/>
    </w:lvl>
  </w:abstractNum>
  <w:abstractNum w:abstractNumId="61">
    <w:nsid w:val="7055A5F5"/>
    <w:multiLevelType w:val="hybridMultilevel"/>
    <w:lvl w:ilvl="0">
      <w:lvlJc w:val="left"/>
      <w:lvlText w:val="(%1)"/>
      <w:numFmt w:val="lowerLetter"/>
      <w:start w:val="1"/>
    </w:lvl>
  </w:abstractNum>
  <w:abstractNum w:abstractNumId="62">
    <w:nsid w:val="5FB8370B"/>
    <w:multiLevelType w:val="hybridMultilevel"/>
    <w:lvl w:ilvl="0">
      <w:lvlJc w:val="left"/>
      <w:lvlText w:val="%1"/>
      <w:numFmt w:val="lowerRoman"/>
      <w:start w:val="1"/>
    </w:lvl>
    <w:lvl w:ilvl="1">
      <w:lvlJc w:val="left"/>
      <w:lvlText w:val="(%2)"/>
      <w:numFmt w:val="lowerLetter"/>
      <w:start w:val="1"/>
    </w:lvl>
  </w:abstractNum>
  <w:abstractNum w:abstractNumId="63">
    <w:nsid w:val="50801EE1"/>
    <w:multiLevelType w:val="hybridMultilevel"/>
    <w:lvl w:ilvl="0">
      <w:lvlJc w:val="left"/>
      <w:lvlText w:val="(%1)"/>
      <w:numFmt w:val="lowerRoman"/>
      <w:start w:val="8"/>
    </w:lvl>
    <w:lvl w:ilvl="1">
      <w:lvlJc w:val="left"/>
      <w:lvlText w:val="(%2)"/>
      <w:numFmt w:val="lowerLetter"/>
      <w:start w:val="2"/>
    </w:lvl>
  </w:abstractNum>
  <w:abstractNum w:abstractNumId="64">
    <w:nsid w:val="488AC1A"/>
    <w:multiLevelType w:val="hybridMultilevel"/>
    <w:lvl w:ilvl="0">
      <w:lvlJc w:val="left"/>
      <w:lvlText w:val="(%1)"/>
      <w:numFmt w:val="lowerLetter"/>
      <w:start w:val="1"/>
    </w:lvl>
  </w:abstractNum>
  <w:abstractNum w:abstractNumId="65">
    <w:nsid w:val="5FB8011C"/>
    <w:multiLevelType w:val="hybridMultilevel"/>
    <w:lvl w:ilvl="0">
      <w:lvlJc w:val="left"/>
      <w:lvlText w:val="(%1)"/>
      <w:numFmt w:val="lowerLetter"/>
      <w:start w:val="3"/>
    </w:lvl>
  </w:abstractNum>
  <w:abstractNum w:abstractNumId="66">
    <w:nsid w:val="6AA78F7F"/>
    <w:multiLevelType w:val="hybridMultilevel"/>
    <w:lvl w:ilvl="0">
      <w:lvlJc w:val="left"/>
      <w:lvlText w:val="(%1)"/>
      <w:numFmt w:val="lowerLetter"/>
      <w:start w:val="1"/>
    </w:lvl>
  </w:abstractNum>
  <w:abstractNum w:abstractNumId="67">
    <w:nsid w:val="7672BD23"/>
    <w:multiLevelType w:val="hybridMultilevel"/>
    <w:lvl w:ilvl="0">
      <w:lvlJc w:val="left"/>
      <w:lvlText w:val="(%1)"/>
      <w:numFmt w:val="lowerLetter"/>
      <w:start w:val="2"/>
    </w:lvl>
  </w:abstractNum>
  <w:abstractNum w:abstractNumId="68">
    <w:nsid w:val="6FC75AF8"/>
    <w:multiLevelType w:val="hybridMultilevel"/>
    <w:lvl w:ilvl="0">
      <w:lvlJc w:val="left"/>
      <w:lvlText w:val="%1"/>
      <w:numFmt w:val="lowerLetter"/>
      <w:start w:val="1"/>
    </w:lvl>
    <w:lvl w:ilvl="1">
      <w:lvlJc w:val="left"/>
      <w:lvlText w:val="(%2)"/>
      <w:numFmt w:val="lowerLetter"/>
      <w:start w:val="1"/>
    </w:lvl>
  </w:abstractNum>
  <w:abstractNum w:abstractNumId="69">
    <w:nsid w:val="6A5F7029"/>
    <w:multiLevelType w:val="hybridMultilevel"/>
    <w:lvl w:ilvl="0">
      <w:lvlJc w:val="left"/>
      <w:lvlText w:val="(%1)"/>
      <w:numFmt w:val="lowerLetter"/>
      <w:start w:val="9"/>
    </w:lvl>
    <w:lvl w:ilvl="1">
      <w:lvlJc w:val="left"/>
      <w:lvlText w:val="(%2)"/>
      <w:numFmt w:val="lowerLetter"/>
      <w:start w:val="3"/>
    </w:lvl>
  </w:abstractNum>
  <w:abstractNum w:abstractNumId="70">
    <w:nsid w:val="7D5E18F8"/>
    <w:multiLevelType w:val="hybridMultilevel"/>
    <w:lvl w:ilvl="0">
      <w:lvlJc w:val="left"/>
      <w:lvlText w:val="%1"/>
      <w:numFmt w:val="lowerLetter"/>
      <w:start w:val="1"/>
    </w:lvl>
    <w:lvl w:ilvl="1">
      <w:lvlJc w:val="left"/>
      <w:lvlText w:val="(%2)"/>
      <w:numFmt w:val="lowerLetter"/>
      <w:start w:val="5"/>
    </w:lvl>
  </w:abstractNum>
  <w:abstractNum w:abstractNumId="71">
    <w:nsid w:val="5F3534A4"/>
    <w:multiLevelType w:val="hybridMultilevel"/>
    <w:lvl w:ilvl="0">
      <w:lvlJc w:val="left"/>
      <w:lvlText w:val="(%1)"/>
      <w:numFmt w:val="lowerLetter"/>
      <w:start w:val="35"/>
    </w:lvl>
    <w:lvl w:ilvl="1">
      <w:lvlJc w:val="left"/>
      <w:lvlText w:val="%2"/>
      <w:numFmt w:val="lowerLetter"/>
      <w:start w:val="1"/>
    </w:lvl>
  </w:abstractNum>
  <w:abstractNum w:abstractNumId="72">
    <w:nsid w:val="73A1821B"/>
    <w:multiLevelType w:val="hybridMultilevel"/>
    <w:lvl w:ilvl="0">
      <w:lvlJc w:val="left"/>
      <w:lvlText w:val="(%1)"/>
      <w:numFmt w:val="lowerRoman"/>
      <w:start w:val="1"/>
    </w:lvl>
  </w:abstractNum>
  <w:abstractNum w:abstractNumId="73">
    <w:nsid w:val="7DE67713"/>
    <w:multiLevelType w:val="hybridMultilevel"/>
    <w:lvl w:ilvl="0">
      <w:lvlJc w:val="left"/>
      <w:lvlText w:val="(%1)"/>
      <w:numFmt w:val="lowerRoman"/>
      <w:start w:val="2"/>
    </w:lvl>
  </w:abstractNum>
  <w:abstractNum w:abstractNumId="74">
    <w:nsid w:val="555C55B5"/>
    <w:multiLevelType w:val="hybridMultilevel"/>
    <w:lvl w:ilvl="0">
      <w:lvlJc w:val="left"/>
      <w:lvlText w:val="%1"/>
      <w:numFmt w:val="upperLetter"/>
      <w:start w:val="1"/>
    </w:lvl>
    <w:lvl w:ilvl="1">
      <w:lvlJc w:val="left"/>
      <w:lvlText w:val="(%2)"/>
      <w:numFmt w:val="lowerRoman"/>
      <w:start w:val="6"/>
    </w:lvl>
  </w:abstractNum>
  <w:abstractNum w:abstractNumId="75">
    <w:nsid w:val="3FA62ACA"/>
    <w:multiLevelType w:val="hybridMultilevel"/>
    <w:lvl w:ilvl="0">
      <w:lvlJc w:val="left"/>
      <w:lvlText w:val="(%1)"/>
      <w:numFmt w:val="upperLetter"/>
      <w:start w:val="2"/>
    </w:lvl>
    <w:lvl w:ilvl="1">
      <w:lvlJc w:val="left"/>
      <w:lvlText w:val="(%2)"/>
      <w:numFmt w:val="lowerRoman"/>
      <w:start w:val="10"/>
    </w:lvl>
  </w:abstractNum>
  <w:abstractNum w:abstractNumId="76">
    <w:nsid w:val="14FCE74E"/>
    <w:multiLevelType w:val="hybridMultilevel"/>
    <w:lvl w:ilvl="0">
      <w:lvlJc w:val="left"/>
      <w:lvlText w:val="(%1)"/>
      <w:numFmt w:val="lowerRoman"/>
      <w:start w:val="11"/>
    </w:lvl>
  </w:abstractNum>
  <w:abstractNum w:abstractNumId="77">
    <w:nsid w:val="6A3DD3E8"/>
    <w:multiLevelType w:val="hybridMultilevel"/>
    <w:lvl w:ilvl="0">
      <w:lvlJc w:val="left"/>
      <w:lvlText w:val="%1"/>
      <w:numFmt w:val="upperLetter"/>
      <w:start w:val="1"/>
    </w:lvl>
    <w:lvl w:ilvl="1">
      <w:lvlJc w:val="left"/>
      <w:lvlText w:val="(%2)"/>
      <w:numFmt w:val="lowerRoman"/>
      <w:start w:val="16"/>
    </w:lvl>
  </w:abstractNum>
  <w:abstractNum w:abstractNumId="78">
    <w:nsid w:val="71C91298"/>
    <w:multiLevelType w:val="hybridMultilevel"/>
    <w:lvl w:ilvl="0">
      <w:lvlJc w:val="left"/>
      <w:lvlText w:val="(%1)"/>
      <w:numFmt w:val="upperLetter"/>
      <w:start w:val="4"/>
    </w:lvl>
    <w:lvl w:ilvl="1">
      <w:lvlJc w:val="left"/>
      <w:lvlText w:val="(%2)"/>
      <w:numFmt w:val="lowerRoman"/>
      <w:start w:val="22"/>
    </w:lvl>
  </w:abstractNum>
  <w:abstractNum w:abstractNumId="79">
    <w:nsid w:val="9DAF632"/>
    <w:multiLevelType w:val="hybridMultilevel"/>
    <w:lvl w:ilvl="0">
      <w:lvlJc w:val="left"/>
      <w:lvlText w:val="(%1)"/>
      <w:numFmt w:val="lowerRoman"/>
      <w:start w:val="24"/>
    </w:lvl>
  </w:abstractNum>
  <w:abstractNum w:abstractNumId="80">
    <w:nsid w:val="53299938"/>
    <w:multiLevelType w:val="hybridMultilevel"/>
    <w:lvl w:ilvl="0">
      <w:lvlJc w:val="left"/>
      <w:lvlText w:val="(%1)"/>
      <w:numFmt w:val="lowerLetter"/>
      <w:start w:val="1"/>
    </w:lvl>
  </w:abstractNum>
  <w:abstractNum w:abstractNumId="81">
    <w:nsid w:val="1FBFE8E0"/>
    <w:multiLevelType w:val="hybridMultilevel"/>
    <w:lvl w:ilvl="0">
      <w:lvlJc w:val="left"/>
      <w:lvlText w:val="(%1)"/>
      <w:numFmt w:val="lowerLetter"/>
      <w:start w:val="5"/>
    </w:lvl>
  </w:abstractNum>
  <w:abstractNum w:abstractNumId="82">
    <w:nsid w:val="5092CA79"/>
    <w:multiLevelType w:val="hybridMultilevel"/>
    <w:lvl w:ilvl="0">
      <w:lvlJc w:val="left"/>
      <w:lvlText w:val="%1"/>
      <w:numFmt w:val="lowerLetter"/>
      <w:start w:val="1"/>
    </w:lvl>
    <w:lvl w:ilvl="1">
      <w:lvlJc w:val="left"/>
      <w:lvlText w:val="(%2)"/>
      <w:numFmt w:val="lowerLetter"/>
      <w:start w:val="1"/>
    </w:lvl>
  </w:abstractNum>
  <w:abstractNum w:abstractNumId="83">
    <w:nsid w:val="1D545C4D"/>
    <w:multiLevelType w:val="hybridMultilevel"/>
    <w:lvl w:ilvl="0">
      <w:lvlJc w:val="left"/>
      <w:lvlText w:val="(%1)"/>
      <w:numFmt w:val="lowerLetter"/>
      <w:start w:val="9"/>
    </w:lvl>
    <w:lvl w:ilvl="1">
      <w:lvlJc w:val="left"/>
      <w:lvlText w:val="%2"/>
      <w:numFmt w:val="lowerLetter"/>
      <w:start w:val="1"/>
    </w:lvl>
  </w:abstractNum>
  <w:abstractNum w:abstractNumId="84">
    <w:nsid w:val="59ADEA3D"/>
    <w:multiLevelType w:val="hybridMultilevel"/>
    <w:lvl w:ilvl="0">
      <w:lvlJc w:val="left"/>
      <w:lvlText w:val="(%1)"/>
      <w:numFmt w:val="lowerLetter"/>
      <w:start w:val="22"/>
    </w:lvl>
    <w:lvl w:ilvl="1">
      <w:lvlJc w:val="left"/>
      <w:lvlText w:val="%2"/>
      <w:numFmt w:val="lowerLetter"/>
      <w:start w:val="1"/>
    </w:lvl>
  </w:abstractNum>
  <w:abstractNum w:abstractNumId="85">
    <w:nsid w:val="288F1A34"/>
    <w:multiLevelType w:val="hybridMultilevel"/>
    <w:lvl w:ilvl="0">
      <w:lvlJc w:val="left"/>
      <w:lvlText w:val="(%1)"/>
      <w:numFmt w:val="lowerLetter"/>
      <w:start w:val="2"/>
    </w:lvl>
  </w:abstractNum>
  <w:abstractNum w:abstractNumId="86">
    <w:nsid w:val="2A155DBC"/>
    <w:multiLevelType w:val="hybridMultilevel"/>
    <w:lvl w:ilvl="0">
      <w:lvlJc w:val="left"/>
      <w:lvlText w:val="(%1)"/>
      <w:numFmt w:val="lowerLetter"/>
      <w:start w:val="24"/>
    </w:lvl>
    <w:lvl w:ilvl="1">
      <w:lvlJc w:val="left"/>
      <w:lvlText w:val="(%2)"/>
      <w:numFmt w:val="lowerLetter"/>
      <w:start w:val="3"/>
    </w:lvl>
  </w:abstractNum>
  <w:abstractNum w:abstractNumId="87">
    <w:nsid w:val="1D9F6E5F"/>
    <w:multiLevelType w:val="hybridMultilevel"/>
    <w:lvl w:ilvl="0">
      <w:lvlJc w:val="left"/>
      <w:lvlText w:val="%1"/>
      <w:numFmt w:val="decimal"/>
      <w:start w:val="1"/>
    </w:lvl>
    <w:lvl w:ilvl="1">
      <w:lvlJc w:val="left"/>
      <w:lvlText w:val="(%2)"/>
      <w:numFmt w:val="lowerLetter"/>
      <w:start w:val="4"/>
    </w:lvl>
  </w:abstractNum>
  <w:abstractNum w:abstractNumId="88">
    <w:nsid w:val="97E1B4E"/>
    <w:multiLevelType w:val="hybridMultilevel"/>
    <w:lvl w:ilvl="0">
      <w:lvlJc w:val="left"/>
      <w:lvlText w:val="(%1)"/>
      <w:numFmt w:val="decimal"/>
      <w:start w:val="4"/>
    </w:lvl>
    <w:lvl w:ilvl="1">
      <w:lvlJc w:val="left"/>
      <w:lvlText w:val="%2"/>
      <w:numFmt w:val="lowerLetter"/>
      <w:start w:val="1"/>
    </w:lvl>
  </w:abstractNum>
  <w:abstractNum w:abstractNumId="89">
    <w:nsid w:val="51088277"/>
    <w:multiLevelType w:val="hybridMultilevel"/>
    <w:lvl w:ilvl="0">
      <w:lvlJc w:val="left"/>
      <w:lvlText w:val="%1"/>
      <w:numFmt w:val="lowerRoman"/>
      <w:start w:val="1"/>
    </w:lvl>
    <w:lvl w:ilvl="1">
      <w:lvlJc w:val="left"/>
      <w:lvlText w:val="(%2)"/>
      <w:numFmt w:val="lowerLetter"/>
      <w:start w:val="6"/>
    </w:lvl>
  </w:abstractNum>
  <w:abstractNum w:abstractNumId="90">
    <w:nsid w:val="1CA0C5FA"/>
    <w:multiLevelType w:val="hybridMultilevel"/>
    <w:lvl w:ilvl="0">
      <w:lvlJc w:val="left"/>
      <w:lvlText w:val="(%1)"/>
      <w:numFmt w:val="lowerRoman"/>
      <w:start w:val="2"/>
    </w:lvl>
    <w:lvl w:ilvl="1">
      <w:lvlJc w:val="left"/>
      <w:lvlText w:val="%2"/>
      <w:numFmt w:val="lowerLetter"/>
      <w:start w:val="1"/>
    </w:lvl>
  </w:abstractNum>
  <w:abstractNum w:abstractNumId="91">
    <w:nsid w:val="53584BCB"/>
    <w:multiLevelType w:val="hybridMultilevel"/>
    <w:lvl w:ilvl="0">
      <w:lvlJc w:val="left"/>
      <w:lvlText w:val="(%1)"/>
      <w:numFmt w:val="lowerLetter"/>
      <w:start w:val="1"/>
    </w:lvl>
    <w:lvl w:ilvl="1">
      <w:lvlJc w:val="left"/>
      <w:lvlText w:val="(%2)"/>
      <w:numFmt w:val="lowerLetter"/>
      <w:start w:val="9"/>
    </w:lvl>
  </w:abstractNum>
  <w:abstractNum w:abstractNumId="92">
    <w:nsid w:val="415E286C"/>
    <w:multiLevelType w:val="hybridMultilevel"/>
    <w:lvl w:ilvl="0">
      <w:lvlJc w:val="left"/>
      <w:lvlText w:val="(%1)"/>
      <w:numFmt w:val="lowerRoman"/>
      <w:start w:val="2"/>
    </w:lvl>
  </w:abstractNum>
  <w:abstractNum w:abstractNumId="93">
    <w:nsid w:val="7C58FD05"/>
    <w:multiLevelType w:val="hybridMultilevel"/>
    <w:lvl w:ilvl="0">
      <w:lvlJc w:val="left"/>
      <w:lvlText w:val="%1"/>
      <w:numFmt w:val="lowerLetter"/>
      <w:start w:val="1"/>
    </w:lvl>
    <w:lvl w:ilvl="1">
      <w:lvlJc w:val="left"/>
      <w:lvlText w:val="(%2)"/>
      <w:numFmt w:val="lowerLetter"/>
      <w:start w:val="2"/>
    </w:lvl>
  </w:abstractNum>
  <w:abstractNum w:abstractNumId="94">
    <w:nsid w:val="23D86AAC"/>
    <w:multiLevelType w:val="hybridMultilevel"/>
    <w:lvl w:ilvl="0">
      <w:lvlJc w:val="left"/>
      <w:lvlText w:val="(%1)"/>
      <w:numFmt w:val="lowerLetter"/>
      <w:start w:val="35"/>
    </w:lvl>
    <w:lvl w:ilvl="1">
      <w:lvlJc w:val="left"/>
      <w:lvlText w:val="(%2)"/>
      <w:numFmt w:val="lowerLetter"/>
      <w:start w:val="3"/>
    </w:lvl>
  </w:abstractNum>
  <w:abstractNum w:abstractNumId="95">
    <w:nsid w:val="45E6D486"/>
    <w:multiLevelType w:val="hybridMultilevel"/>
    <w:lvl w:ilvl="0">
      <w:lvlJc w:val="left"/>
      <w:lvlText w:val="(%1)"/>
      <w:numFmt w:val="lowerLetter"/>
      <w:start w:val="1"/>
    </w:lvl>
  </w:abstractNum>
  <w:abstractNum w:abstractNumId="96">
    <w:nsid w:val="5C10FE21"/>
    <w:multiLevelType w:val="hybridMultilevel"/>
    <w:lvl w:ilvl="0">
      <w:lvlJc w:val="left"/>
      <w:lvlText w:val="(%1)"/>
      <w:numFmt w:val="lowerLetter"/>
      <w:start w:val="1"/>
    </w:lvl>
  </w:abstractNum>
  <w:abstractNum w:abstractNumId="97">
    <w:nsid w:val="E7FFA2B"/>
    <w:multiLevelType w:val="hybridMultilevel"/>
    <w:lvl w:ilvl="0">
      <w:lvlJc w:val="left"/>
      <w:lvlText w:val="%1"/>
      <w:numFmt w:val="lowerLetter"/>
      <w:start w:val="1"/>
    </w:lvl>
    <w:lvl w:ilvl="1">
      <w:lvlJc w:val="left"/>
      <w:lvlText w:val="(%2)"/>
      <w:numFmt w:val="lowerLetter"/>
      <w:start w:val="2"/>
    </w:lvl>
  </w:abstractNum>
  <w:abstractNum w:abstractNumId="98">
    <w:nsid w:val="3C5991AA"/>
    <w:multiLevelType w:val="hybridMultilevel"/>
    <w:lvl w:ilvl="0">
      <w:lvlJc w:val="left"/>
      <w:lvlText w:val="(%1)"/>
      <w:numFmt w:val="lowerLetter"/>
      <w:start w:val="9"/>
    </w:lvl>
    <w:lvl w:ilvl="1">
      <w:lvlJc w:val="left"/>
      <w:lvlText w:val="%2"/>
      <w:numFmt w:val="lowerLetter"/>
      <w:start w:val="1"/>
    </w:lvl>
  </w:abstractNum>
  <w:abstractNum w:abstractNumId="99">
    <w:nsid w:val="4BD8591A"/>
    <w:multiLevelType w:val="hybridMultilevel"/>
    <w:lvl w:ilvl="0">
      <w:lvlJc w:val="left"/>
      <w:lvlText w:val="(%1)"/>
      <w:numFmt w:val="upperLetter"/>
      <w:start w:val="1"/>
    </w:lvl>
    <w:lvl w:ilvl="1">
      <w:lvlJc w:val="left"/>
      <w:lvlText w:val="(%2)"/>
      <w:numFmt w:val="lowerLetter"/>
      <w:start w:val="3"/>
    </w:lvl>
  </w:abstractNum>
  <w:abstractNum w:abstractNumId="100">
    <w:nsid w:val="78DF6A55"/>
    <w:multiLevelType w:val="hybridMultilevel"/>
    <w:lvl w:ilvl="0">
      <w:lvlJc w:val="left"/>
      <w:lvlText w:val="(%1)"/>
      <w:numFmt w:val="lowerLetter"/>
      <w:start w:val="1"/>
    </w:lvl>
  </w:abstractNum>
  <w:abstractNum w:abstractNumId="101">
    <w:nsid w:val="39B7AAA2"/>
    <w:multiLevelType w:val="hybridMultilevel"/>
    <w:lvl w:ilvl="0">
      <w:lvlJc w:val="left"/>
      <w:lvlText w:val="(%1)"/>
      <w:numFmt w:val="lowerLetter"/>
      <w:start w:val="3"/>
    </w:lvl>
  </w:abstractNum>
  <w:abstractNum w:abstractNumId="102">
    <w:nsid w:val="2B0D8DBE"/>
    <w:multiLevelType w:val="hybridMultilevel"/>
    <w:lvl w:ilvl="0">
      <w:lvlJc w:val="left"/>
      <w:lvlText w:val="(%1)"/>
      <w:numFmt w:val="lowerLetter"/>
      <w:start w:val="1"/>
    </w:lvl>
  </w:abstractNum>
  <w:abstractNum w:abstractNumId="103">
    <w:nsid w:val="6C80EC70"/>
    <w:multiLevelType w:val="hybridMultilevel"/>
    <w:lvl w:ilvl="0">
      <w:lvlJc w:val="left"/>
      <w:lvlText w:val="(%1)"/>
      <w:numFmt w:val="lowerLetter"/>
      <w:start w:val="3"/>
    </w:lvl>
  </w:abstractNum>
  <w:abstractNum w:abstractNumId="104">
    <w:nsid w:val="379E21B5"/>
    <w:multiLevelType w:val="hybridMultilevel"/>
    <w:lvl w:ilvl="0">
      <w:lvlJc w:val="left"/>
      <w:lvlText w:val="%1"/>
      <w:numFmt w:val="upperLetter"/>
      <w:start w:val="1"/>
    </w:lvl>
    <w:lvl w:ilvl="1">
      <w:lvlJc w:val="left"/>
      <w:lvlText w:val="(%2)"/>
      <w:numFmt w:val="lowerLetter"/>
      <w:start w:val="1"/>
    </w:lvl>
  </w:abstractNum>
  <w:abstractNum w:abstractNumId="105">
    <w:nsid w:val="69E373"/>
    <w:multiLevelType w:val="hybridMultilevel"/>
    <w:lvl w:ilvl="0">
      <w:lvlJc w:val="left"/>
      <w:lvlText w:val="(%1)"/>
      <w:numFmt w:val="upperLetter"/>
      <w:start w:val="35"/>
    </w:lvl>
    <w:lvl w:ilvl="1">
      <w:lvlJc w:val="left"/>
      <w:lvlText w:val="(%2)"/>
      <w:numFmt w:val="lowerLetter"/>
      <w:start w:val="3"/>
    </w:lvl>
  </w:abstractNum>
  <w:abstractNum w:abstractNumId="106">
    <w:nsid w:val="2C27173B"/>
    <w:multiLevelType w:val="hybridMultilevel"/>
    <w:lvl w:ilvl="0">
      <w:lvlJc w:val="left"/>
      <w:lvlText w:val="(%1)"/>
      <w:numFmt w:val="lowerLetter"/>
      <w:start w:val="1"/>
    </w:lvl>
  </w:abstractNum>
  <w:abstractNum w:abstractNumId="107">
    <w:nsid w:val="4C9B0904"/>
    <w:multiLevelType w:val="hybridMultilevel"/>
    <w:lvl w:ilvl="0">
      <w:lvlJc w:val="left"/>
      <w:lvlText w:val="(%1)"/>
      <w:numFmt w:val="lowerLetter"/>
      <w:start w:val="2"/>
    </w:lvl>
  </w:abstractNum>
  <w:abstractNum w:abstractNumId="108">
    <w:nsid w:val="6AA7B75C"/>
    <w:multiLevelType w:val="hybridMultilevel"/>
    <w:lvl w:ilvl="0">
      <w:lvlJc w:val="left"/>
      <w:lvlText w:val="(%1)"/>
      <w:numFmt w:val="lowerLetter"/>
      <w:start w:val="1"/>
    </w:lvl>
  </w:abstractNum>
  <w:abstractNum w:abstractNumId="109">
    <w:nsid w:val="1DF029D3"/>
    <w:multiLevelType w:val="hybridMultilevel"/>
    <w:lvl w:ilvl="0">
      <w:lvlJc w:val="left"/>
      <w:lvlText w:val="%1"/>
      <w:numFmt w:val="lowerLetter"/>
      <w:start w:val="1"/>
    </w:lvl>
    <w:lvl w:ilvl="1">
      <w:lvlJc w:val="left"/>
      <w:lvlText w:val="(%2)"/>
      <w:numFmt w:val="lowerLetter"/>
      <w:start w:val="1"/>
    </w:lvl>
  </w:abstractNum>
  <w:abstractNum w:abstractNumId="110">
    <w:nsid w:val="5675FF36"/>
    <w:multiLevelType w:val="hybridMultilevel"/>
    <w:lvl w:ilvl="0">
      <w:lvlJc w:val="left"/>
      <w:lvlText w:val="(%1)"/>
      <w:numFmt w:val="lowerLetter"/>
      <w:start w:val="35"/>
    </w:lvl>
    <w:lvl w:ilvl="1">
      <w:lvlJc w:val="left"/>
      <w:lvlText w:val="(%2)"/>
      <w:numFmt w:val="lowerLetter"/>
      <w:start w:val="2"/>
    </w:lvl>
  </w:abstractNum>
  <w:abstractNum w:abstractNumId="111">
    <w:nsid w:val="3DD15094"/>
    <w:multiLevelType w:val="hybridMultilevel"/>
    <w:lvl w:ilvl="0">
      <w:lvlJc w:val="left"/>
      <w:lvlText w:val="(%1)"/>
      <w:numFmt w:val="lowerLetter"/>
      <w:start w:val="3"/>
    </w:lvl>
    <w:lvl w:ilvl="1">
      <w:lvlJc w:val="left"/>
      <w:lvlText w:val="(%2)"/>
      <w:numFmt w:val="lowerLetter"/>
      <w:start w:val="5"/>
    </w:lvl>
  </w:abstractNum>
  <w:abstractNum w:abstractNumId="112">
    <w:nsid w:val="3DB012B3"/>
    <w:multiLevelType w:val="hybridMultilevel"/>
    <w:lvl w:ilvl="0">
      <w:lvlJc w:val="left"/>
      <w:lvlText w:val="(%1)"/>
      <w:numFmt w:val="lowerLetter"/>
      <w:start w:val="1"/>
    </w:lvl>
  </w:abstractNum>
  <w:abstractNum w:abstractNumId="113">
    <w:nsid w:val="2708C9AF"/>
    <w:multiLevelType w:val="hybridMultilevel"/>
    <w:lvl w:ilvl="0">
      <w:lvlJc w:val="left"/>
      <w:lvlText w:val="%1"/>
      <w:numFmt w:val="lowerLetter"/>
      <w:start w:val="1"/>
    </w:lvl>
    <w:lvl w:ilvl="1">
      <w:lvlJc w:val="left"/>
      <w:lvlText w:val="(%2)"/>
      <w:numFmt w:val="lowerLetter"/>
      <w:start w:val="1"/>
    </w:lvl>
  </w:abstractNum>
  <w:abstractNum w:abstractNumId="114">
    <w:nsid w:val="5B25ACE2"/>
    <w:multiLevelType w:val="hybridMultilevel"/>
    <w:lvl w:ilvl="0">
      <w:lvlJc w:val="left"/>
      <w:lvlText w:val="(%1)"/>
      <w:numFmt w:val="lowerLetter"/>
      <w:start w:val="24"/>
    </w:lvl>
    <w:lvl w:ilvl="1">
      <w:lvlJc w:val="left"/>
      <w:lvlText w:val="%2"/>
      <w:numFmt w:val="lowerLetter"/>
      <w:start w:val="1"/>
    </w:lvl>
  </w:abstractNum>
  <w:abstractNum w:abstractNumId="115">
    <w:nsid w:val="175DFCF0"/>
    <w:multiLevelType w:val="hybridMultilevel"/>
    <w:lvl w:ilvl="0">
      <w:lvlJc w:val="left"/>
      <w:lvlText w:val="(%1)"/>
      <w:numFmt w:val="lowerLetter"/>
      <w:start w:val="5"/>
    </w:lvl>
  </w:abstractNum>
  <w:abstractNum w:abstractNumId="116">
    <w:nsid w:val="4F97E3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7">
    <w:nsid w:val="53B0A9E"/>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2"/>
    </w:lvl>
  </w:abstractNum>
  <w:abstractNum w:abstractNumId="118">
    <w:nsid w:val="34FD6B4F"/>
    <w:multiLevelType w:val="hybridMultilevel"/>
    <w:lvl w:ilvl="0">
      <w:lvlJc w:val="left"/>
      <w:lvlText w:val="%1"/>
      <w:numFmt w:val="lowerLetter"/>
      <w:start w:val="1"/>
    </w:lvl>
    <w:lvl w:ilvl="1">
      <w:lvlJc w:val="left"/>
      <w:lvlText w:val="(%2)"/>
      <w:numFmt w:val="lowerRoman"/>
      <w:start w:val="4"/>
    </w:lvl>
  </w:abstractNum>
  <w:abstractNum w:abstractNumId="119">
    <w:nsid w:val="5915FF32"/>
    <w:multiLevelType w:val="hybridMultilevel"/>
    <w:lvl w:ilvl="0">
      <w:lvlJc w:val="left"/>
      <w:lvlText w:val="(%1)"/>
      <w:numFmt w:val="lowerLetter"/>
      <w:start w:val="3"/>
    </w:lvl>
    <w:lvl w:ilvl="1">
      <w:lvlJc w:val="left"/>
      <w:lvlText w:val="%2"/>
      <w:numFmt w:val="lowerRoman"/>
      <w:start w:val="1"/>
    </w:lvl>
  </w:abstractNum>
  <w:abstractNum w:abstractNumId="120">
    <w:nsid w:val="56438D15"/>
    <w:multiLevelType w:val="hybridMultilevel"/>
    <w:lvl w:ilvl="0">
      <w:lvlJc w:val="left"/>
      <w:lvlText w:val="(%1)"/>
      <w:numFmt w:val="lowerLetter"/>
      <w:start w:val="1"/>
    </w:lvl>
  </w:abstractNum>
  <w:abstractNum w:abstractNumId="121">
    <w:nsid w:val="519E3149"/>
    <w:multiLevelType w:val="hybridMultilevel"/>
    <w:lvl w:ilvl="0">
      <w:lvlJc w:val="left"/>
      <w:lvlText w:val="(%1)"/>
      <w:numFmt w:val="lowerLetter"/>
      <w:start w:val="1"/>
    </w:lvl>
  </w:abstractNum>
  <w:abstractNum w:abstractNumId="122">
    <w:nsid w:val="2C6E4AFD"/>
    <w:multiLevelType w:val="hybridMultilevel"/>
    <w:lvl w:ilvl="0">
      <w:lvlJc w:val="left"/>
      <w:lvlText w:val="(%1)"/>
      <w:numFmt w:val="lowerLetter"/>
      <w:start w:val="1"/>
    </w:lvl>
  </w:abstractNum>
  <w:abstractNum w:abstractNumId="123">
    <w:nsid w:val="17A1B582"/>
    <w:multiLevelType w:val="hybridMultilevel"/>
    <w:lvl w:ilvl="0">
      <w:lvlJc w:val="left"/>
      <w:lvlText w:val="(%1)"/>
      <w:numFmt w:val="lowerLetter"/>
      <w:start w:val="1"/>
    </w:lvl>
  </w:abstractNum>
  <w:abstractNum w:abstractNumId="124">
    <w:nsid w:val="4DF72E4E"/>
    <w:multiLevelType w:val="hybridMultilevel"/>
    <w:lvl w:ilvl="0">
      <w:lvlJc w:val="left"/>
      <w:lvlText w:val="(%1)"/>
      <w:numFmt w:val="lowerRoman"/>
      <w:start w:val="2"/>
    </w:lvl>
  </w:abstractNum>
  <w:abstractNum w:abstractNumId="125">
    <w:nsid w:val="5046B5A9"/>
    <w:multiLevelType w:val="hybridMultilevel"/>
    <w:lvl w:ilvl="0">
      <w:lvlJc w:val="left"/>
      <w:lvlText w:val="(%1)"/>
      <w:numFmt w:val="lowerRoman"/>
      <w:start w:val="2"/>
    </w:lvl>
  </w:abstractNum>
  <w:abstractNum w:abstractNumId="126">
    <w:nsid w:val="5D888A08"/>
    <w:multiLevelType w:val="hybridMultilevel"/>
    <w:lvl w:ilvl="0">
      <w:lvlJc w:val="left"/>
      <w:lvlText w:val="(%1)"/>
      <w:numFmt w:val="lowerLetter"/>
      <w:start w:val="1"/>
    </w:lvl>
  </w:abstractNum>
  <w:abstractNum w:abstractNumId="127">
    <w:nsid w:val="2A082C70"/>
    <w:multiLevelType w:val="hybridMultilevel"/>
    <w:lvl w:ilvl="0">
      <w:lvlJc w:val="left"/>
      <w:lvlText w:val="(%1)"/>
      <w:numFmt w:val="lowerRoman"/>
      <w:start w:val="1"/>
    </w:lvl>
  </w:abstractNum>
  <w:abstractNum w:abstractNumId="128">
    <w:nsid w:val="5EC6AFD4"/>
    <w:multiLevelType w:val="hybridMultilevel"/>
    <w:lvl w:ilvl="0">
      <w:lvlJc w:val="left"/>
      <w:lvlText w:val="(%1)"/>
      <w:numFmt w:val="lowerLetter"/>
      <w:start w:val="8"/>
    </w:lvl>
  </w:abstractNum>
  <w:abstractNum w:abstractNumId="129">
    <w:nsid w:val="19E21BB2"/>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2021-07-19T05:36:33Z</dcterms:created>
  <dcterms:modified xsi:type="dcterms:W3CDTF">2021-07-19T05:36:33Z</dcterms:modified>
</cp:coreProperties>
</file>