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 2021</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Zoom Video Communications, Inc.</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54" w:lineRule="exact"/>
        <w:rPr>
          <w:sz w:val="24"/>
          <w:szCs w:val="24"/>
          <w:color w:val="auto"/>
        </w:rPr>
      </w:pPr>
    </w:p>
    <w:tbl>
      <w:tblPr>
        <w:tblLayout w:type="fixed"/>
        <w:tblInd w:w="1040" w:type="dxa"/>
        <w:tblCellMar>
          <w:top w:w="0" w:type="dxa"/>
          <w:left w:w="0" w:type="dxa"/>
          <w:bottom w:w="0" w:type="dxa"/>
          <w:right w:w="0" w:type="dxa"/>
        </w:tblCellMar>
      </w:tblPr>
      <w:tr>
        <w:trPr>
          <w:trHeight w:val="245"/>
        </w:trPr>
        <w:tc>
          <w:tcPr>
            <w:tcW w:w="2120" w:type="dxa"/>
            <w:vAlign w:val="bottom"/>
          </w:tcPr>
          <w:p>
            <w:pPr>
              <w:jc w:val="center"/>
              <w:ind w:right="35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5060" w:type="dxa"/>
            <w:vAlign w:val="bottom"/>
          </w:tcPr>
          <w:p>
            <w:pPr>
              <w:jc w:val="center"/>
              <w:ind w:right="73"/>
              <w:spacing w:after="0"/>
              <w:rPr>
                <w:sz w:val="20"/>
                <w:szCs w:val="20"/>
                <w:color w:val="auto"/>
              </w:rPr>
            </w:pPr>
            <w:r>
              <w:rPr>
                <w:rFonts w:ascii="Times New Roman" w:cs="Times New Roman" w:eastAsia="Times New Roman" w:hAnsi="Times New Roman"/>
                <w:sz w:val="20"/>
                <w:szCs w:val="20"/>
                <w:b w:val="1"/>
                <w:bCs w:val="1"/>
                <w:color w:val="auto"/>
                <w:w w:val="99"/>
              </w:rPr>
              <w:t>001-38865</w:t>
            </w:r>
          </w:p>
        </w:tc>
        <w:tc>
          <w:tcPr>
            <w:tcW w:w="1700" w:type="dxa"/>
            <w:vAlign w:val="bottom"/>
          </w:tcPr>
          <w:p>
            <w:pPr>
              <w:jc w:val="center"/>
              <w:ind w:left="499"/>
              <w:spacing w:after="0"/>
              <w:rPr>
                <w:sz w:val="20"/>
                <w:szCs w:val="20"/>
                <w:color w:val="auto"/>
              </w:rPr>
            </w:pPr>
            <w:r>
              <w:rPr>
                <w:rFonts w:ascii="Times New Roman" w:cs="Times New Roman" w:eastAsia="Times New Roman" w:hAnsi="Times New Roman"/>
                <w:sz w:val="20"/>
                <w:szCs w:val="20"/>
                <w:b w:val="1"/>
                <w:bCs w:val="1"/>
                <w:color w:val="auto"/>
                <w:w w:val="99"/>
              </w:rPr>
              <w:t>61-1648780</w:t>
            </w:r>
          </w:p>
        </w:tc>
        <w:tc>
          <w:tcPr>
            <w:tcW w:w="0" w:type="dxa"/>
            <w:vAlign w:val="bottom"/>
          </w:tcPr>
          <w:p>
            <w:pPr>
              <w:spacing w:after="0"/>
              <w:rPr>
                <w:sz w:val="1"/>
                <w:szCs w:val="1"/>
                <w:color w:val="auto"/>
              </w:rPr>
            </w:pPr>
          </w:p>
        </w:tc>
      </w:tr>
      <w:tr>
        <w:trPr>
          <w:trHeight w:val="146"/>
        </w:trPr>
        <w:tc>
          <w:tcPr>
            <w:tcW w:w="2120" w:type="dxa"/>
            <w:vAlign w:val="bottom"/>
          </w:tcPr>
          <w:p>
            <w:pPr>
              <w:jc w:val="center"/>
              <w:ind w:right="33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49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12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vMerge w:val="continue"/>
          </w:tcPr>
          <w:p>
            <w:pPr>
              <w:spacing w:after="0"/>
              <w:rPr>
                <w:sz w:val="16"/>
                <w:szCs w:val="16"/>
                <w:color w:val="auto"/>
              </w:rPr>
            </w:pPr>
          </w:p>
        </w:tc>
        <w:tc>
          <w:tcPr>
            <w:tcW w:w="1700" w:type="dxa"/>
            <w:vAlign w:val="bottom"/>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9"/>
        </w:trPr>
        <w:tc>
          <w:tcPr>
            <w:tcW w:w="2120" w:type="dxa"/>
            <w:vAlign w:val="bottom"/>
          </w:tcPr>
          <w:p>
            <w:pPr>
              <w:spacing w:after="0"/>
              <w:rPr>
                <w:sz w:val="24"/>
                <w:szCs w:val="24"/>
                <w:color w:val="auto"/>
              </w:rPr>
            </w:pPr>
          </w:p>
        </w:tc>
        <w:tc>
          <w:tcPr>
            <w:tcW w:w="5060" w:type="dxa"/>
            <w:vAlign w:val="bottom"/>
          </w:tcPr>
          <w:p>
            <w:pPr>
              <w:jc w:val="center"/>
              <w:ind w:right="53"/>
              <w:spacing w:after="0"/>
              <w:rPr>
                <w:sz w:val="20"/>
                <w:szCs w:val="20"/>
                <w:color w:val="auto"/>
              </w:rPr>
            </w:pPr>
            <w:r>
              <w:rPr>
                <w:rFonts w:ascii="Times New Roman" w:cs="Times New Roman" w:eastAsia="Times New Roman" w:hAnsi="Times New Roman"/>
                <w:sz w:val="20"/>
                <w:szCs w:val="20"/>
                <w:b w:val="1"/>
                <w:bCs w:val="1"/>
                <w:color w:val="auto"/>
                <w:w w:val="99"/>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120" w:type="dxa"/>
            <w:vAlign w:val="bottom"/>
          </w:tcPr>
          <w:p>
            <w:pPr>
              <w:spacing w:after="0"/>
              <w:rPr>
                <w:sz w:val="20"/>
                <w:szCs w:val="20"/>
                <w:color w:val="auto"/>
              </w:rPr>
            </w:pPr>
          </w:p>
        </w:tc>
        <w:tc>
          <w:tcPr>
            <w:tcW w:w="5060" w:type="dxa"/>
            <w:vAlign w:val="bottom"/>
          </w:tcPr>
          <w:p>
            <w:pPr>
              <w:jc w:val="center"/>
              <w:ind w:right="53"/>
              <w:spacing w:after="0"/>
              <w:rPr>
                <w:sz w:val="20"/>
                <w:szCs w:val="20"/>
                <w:color w:val="auto"/>
              </w:rPr>
            </w:pPr>
            <w:r>
              <w:rPr>
                <w:rFonts w:ascii="Times New Roman" w:cs="Times New Roman" w:eastAsia="Times New Roman" w:hAnsi="Times New Roman"/>
                <w:sz w:val="20"/>
                <w:szCs w:val="20"/>
                <w:b w:val="1"/>
                <w:bCs w:val="1"/>
                <w:color w:val="auto"/>
                <w:w w:val="98"/>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50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120" w:type="dxa"/>
            <w:vAlign w:val="bottom"/>
          </w:tcPr>
          <w:p>
            <w:pPr>
              <w:spacing w:after="0"/>
              <w:rPr>
                <w:sz w:val="24"/>
                <w:szCs w:val="24"/>
                <w:color w:val="auto"/>
              </w:rPr>
            </w:pPr>
          </w:p>
        </w:tc>
        <w:tc>
          <w:tcPr>
            <w:tcW w:w="5060" w:type="dxa"/>
            <w:vAlign w:val="bottom"/>
          </w:tcPr>
          <w:p>
            <w:pPr>
              <w:jc w:val="center"/>
              <w:ind w:right="53"/>
              <w:spacing w:after="0"/>
              <w:rPr>
                <w:sz w:val="20"/>
                <w:szCs w:val="20"/>
                <w:color w:val="auto"/>
              </w:rPr>
            </w:pPr>
            <w:r>
              <w:rPr>
                <w:rFonts w:ascii="Times New Roman" w:cs="Times New Roman" w:eastAsia="Times New Roman" w:hAnsi="Times New Roman"/>
                <w:sz w:val="20"/>
                <w:szCs w:val="20"/>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50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120" w:type="dxa"/>
            <w:vAlign w:val="bottom"/>
          </w:tcPr>
          <w:p>
            <w:pPr>
              <w:spacing w:after="0"/>
              <w:rPr>
                <w:sz w:val="24"/>
                <w:szCs w:val="24"/>
                <w:color w:val="auto"/>
              </w:rPr>
            </w:pPr>
          </w:p>
        </w:tc>
        <w:tc>
          <w:tcPr>
            <w:tcW w:w="5060" w:type="dxa"/>
            <w:vAlign w:val="bottom"/>
          </w:tcPr>
          <w:p>
            <w:pPr>
              <w:jc w:val="center"/>
              <w:ind w:right="53"/>
              <w:spacing w:after="0"/>
              <w:rPr>
                <w:sz w:val="20"/>
                <w:szCs w:val="20"/>
                <w:color w:val="auto"/>
              </w:rPr>
            </w:pPr>
            <w:r>
              <w:rPr>
                <w:rFonts w:ascii="Times New Roman" w:cs="Times New Roman" w:eastAsia="Times New Roman" w:hAnsi="Times New Roman"/>
                <w:sz w:val="20"/>
                <w:szCs w:val="20"/>
                <w:b w:val="1"/>
                <w:bCs w:val="1"/>
                <w:color w:val="auto"/>
                <w:w w:val="99"/>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50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90"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March 1, 2021, Zoom Video Communications, Inc. (the “Company”) issued a press release announcing its financial results for the three months and the fiscal year ended January 31, 2021. A copy of the press release is furnished as Exhibit 99.1 to this report and is incorporated by reference.</w:t>
      </w:r>
    </w:p>
    <w:p>
      <w:pPr>
        <w:spacing w:after="0" w:line="162"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Exhibit No.</w:t>
            </w: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38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15"/>
                <w:szCs w:val="15"/>
                <w:color w:val="auto"/>
              </w:rPr>
            </w:pPr>
          </w:p>
        </w:tc>
        <w:tc>
          <w:tcPr>
            <w:tcW w:w="9380" w:type="dxa"/>
            <w:vAlign w:val="bottom"/>
            <w:tcBorders>
              <w:top w:val="single" w:sz="8" w:color="auto"/>
            </w:tcBorders>
            <w:gridSpan w:val="2"/>
          </w:tcPr>
          <w:p>
            <w:pPr>
              <w:spacing w:after="0" w:line="182"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 xml:space="preserve">Press release dated March 1, </w:t>
              </w:r>
              <w:r>
                <w:rPr>
                  <w:rFonts w:ascii="Times New Roman" w:cs="Times New Roman" w:eastAsia="Times New Roman" w:hAnsi="Times New Roman"/>
                  <w:sz w:val="18"/>
                  <w:szCs w:val="18"/>
                  <w:u w:val="single" w:color="auto"/>
                  <w:color w:val="0000FF"/>
                </w:rPr>
                <w:t>2021 of Zoom Video Communications, Inc.</w:t>
              </w:r>
            </w:hyperlink>
          </w:p>
        </w:tc>
        <w:tc>
          <w:tcPr>
            <w:tcW w:w="20" w:type="dxa"/>
            <w:vAlign w:val="bottom"/>
          </w:tcPr>
          <w:p>
            <w:pPr>
              <w:spacing w:after="0"/>
              <w:rPr>
                <w:sz w:val="15"/>
                <w:szCs w:val="15"/>
                <w:color w:val="auto"/>
              </w:rPr>
            </w:pPr>
          </w:p>
        </w:tc>
      </w:tr>
      <w:tr>
        <w:trPr>
          <w:trHeight w:val="1256"/>
        </w:trPr>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20" w:type="dxa"/>
            <w:vAlign w:val="bottom"/>
            <w:tcBorders>
              <w:top w:val="single" w:sz="8" w:color="0000FF"/>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7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48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 2021</w:t>
            </w:r>
          </w:p>
        </w:tc>
        <w:tc>
          <w:tcPr>
            <w:tcW w:w="25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Kelly Steckelberg</w:t>
            </w: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Kelly Steckelberg</w:t>
            </w:r>
          </w:p>
        </w:tc>
      </w:tr>
      <w:tr>
        <w:trPr>
          <w:trHeight w:val="236"/>
        </w:trPr>
        <w:tc>
          <w:tcPr>
            <w:tcW w:w="3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Zoom Video Communications Reports Fourth Quarter and Fiscal Year 2021 Financial Results</w:t>
      </w:r>
    </w:p>
    <w:p>
      <w:pPr>
        <w:spacing w:after="0" w:line="225" w:lineRule="exact"/>
        <w:rPr>
          <w:sz w:val="20"/>
          <w:szCs w:val="20"/>
          <w:color w:val="auto"/>
        </w:rPr>
      </w:pPr>
    </w:p>
    <w:p>
      <w:pPr>
        <w:ind w:left="980" w:right="160" w:hanging="324"/>
        <w:spacing w:after="0" w:line="286" w:lineRule="auto"/>
        <w:tabs>
          <w:tab w:leader="none" w:pos="97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Fourth quarter total revenue of $882.5 million, up 369% year-over-year; full fiscal year total revenue of $2,651.4 million, up 326% year-over-year</w:t>
      </w:r>
    </w:p>
    <w:p>
      <w:pPr>
        <w:spacing w:after="0" w:line="154" w:lineRule="exact"/>
        <w:rPr>
          <w:rFonts w:ascii="Times New Roman" w:cs="Times New Roman" w:eastAsia="Times New Roman" w:hAnsi="Times New Roman"/>
          <w:sz w:val="18"/>
          <w:szCs w:val="18"/>
          <w:b w:val="1"/>
          <w:bCs w:val="1"/>
          <w:i w:val="1"/>
          <w:iCs w:val="1"/>
          <w:color w:val="auto"/>
        </w:rPr>
      </w:pPr>
    </w:p>
    <w:p>
      <w:pPr>
        <w:ind w:left="980" w:right="20" w:hanging="324"/>
        <w:spacing w:after="0" w:line="286" w:lineRule="auto"/>
        <w:tabs>
          <w:tab w:leader="none" w:pos="97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Fourth quarter GAAP income from operations of $256.1 million, up 2327% year-over-year; full fiscal year GAAP income from operations of $659.8 million, up 5097% year-over-year</w:t>
      </w:r>
    </w:p>
    <w:p>
      <w:pPr>
        <w:spacing w:after="0" w:line="154" w:lineRule="exact"/>
        <w:rPr>
          <w:rFonts w:ascii="Times New Roman" w:cs="Times New Roman" w:eastAsia="Times New Roman" w:hAnsi="Times New Roman"/>
          <w:sz w:val="18"/>
          <w:szCs w:val="18"/>
          <w:b w:val="1"/>
          <w:bCs w:val="1"/>
          <w:i w:val="1"/>
          <w:iCs w:val="1"/>
          <w:color w:val="auto"/>
        </w:rPr>
      </w:pPr>
    </w:p>
    <w:p>
      <w:pPr>
        <w:ind w:left="980" w:right="240" w:hanging="324"/>
        <w:spacing w:after="0" w:line="286" w:lineRule="auto"/>
        <w:tabs>
          <w:tab w:leader="none" w:pos="97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Fourth quarter non-GAAP income from operations of $360.9 million, up 839% year-over-year; full fiscal year non-GAAP income from operations of $983.3 million, up 1009% year-over-year</w:t>
      </w:r>
    </w:p>
    <w:p>
      <w:pPr>
        <w:spacing w:after="0" w:line="154" w:lineRule="exact"/>
        <w:rPr>
          <w:rFonts w:ascii="Times New Roman" w:cs="Times New Roman" w:eastAsia="Times New Roman" w:hAnsi="Times New Roman"/>
          <w:sz w:val="18"/>
          <w:szCs w:val="18"/>
          <w:b w:val="1"/>
          <w:bCs w:val="1"/>
          <w:i w:val="1"/>
          <w:iCs w:val="1"/>
          <w:color w:val="auto"/>
        </w:rPr>
      </w:pPr>
    </w:p>
    <w:p>
      <w:pPr>
        <w:ind w:left="980" w:right="60" w:hanging="324"/>
        <w:spacing w:after="0" w:line="286" w:lineRule="auto"/>
        <w:tabs>
          <w:tab w:leader="none" w:pos="97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Fourth quarter operating cash flow of $399.4 million, up 993% year-over-year; full fiscal year operating cash flow of $1,471.2 million, up 869% year-over-year</w:t>
      </w:r>
    </w:p>
    <w:p>
      <w:pPr>
        <w:spacing w:after="0" w:line="15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Jose, California – </w:t>
      </w:r>
      <w:r>
        <w:rPr>
          <w:rFonts w:ascii="Times New Roman" w:cs="Times New Roman" w:eastAsia="Times New Roman" w:hAnsi="Times New Roman"/>
          <w:sz w:val="18"/>
          <w:szCs w:val="18"/>
          <w:color w:val="auto"/>
        </w:rPr>
        <w:t>March 1, 2021 – Zoom Video Communications, Inc. (NASDAQ: ZM), a leading provider of video-first unified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financial results for the fourth quarter ended January 31, 2021.</w:t>
      </w:r>
    </w:p>
    <w:p>
      <w:pPr>
        <w:spacing w:after="0" w:line="18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fourth quarter marked a strong finish to an unprecedented year for Zoom. In FY2021, we significantly scaled our business to provide critical communications and collaboration services to our customers and the global community in response to the pandemic. We are humbled by our role as a trusted partner and an engine for the modern work-from-anywhere environment. Our ability to rapidly respond and execute drove strong financial results throughout the year,” said Eric S. Yuan, Founder and Chief Executive Officer of Zoom. “As we enter FY2022, we believe we are well positioned for strong growth with our innovative video communications platform, on which our customers can build, run, and grow their businesses; our globally recognized brand; and a team ever focused on delivering happiness to our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Year 2021 Financial Highlights:</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for the quarter was $882.5 million, up 369% year-over-year.</w:t>
      </w:r>
    </w:p>
    <w:p>
      <w:pPr>
        <w:spacing w:after="0" w:line="117" w:lineRule="exact"/>
        <w:rPr>
          <w:rFonts w:ascii="Times New Roman" w:cs="Times New Roman" w:eastAsia="Times New Roman" w:hAnsi="Times New Roman"/>
          <w:sz w:val="18"/>
          <w:szCs w:val="18"/>
          <w:b w:val="1"/>
          <w:bCs w:val="1"/>
          <w:color w:val="auto"/>
        </w:rPr>
      </w:pPr>
    </w:p>
    <w:p>
      <w:pPr>
        <w:ind w:left="980" w:right="40" w:hanging="324"/>
        <w:spacing w:after="0" w:line="259" w:lineRule="auto"/>
        <w:tabs>
          <w:tab w:leader="none" w:pos="9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from Operations and Operating Margin: </w:t>
      </w:r>
      <w:r>
        <w:rPr>
          <w:rFonts w:ascii="Times New Roman" w:cs="Times New Roman" w:eastAsia="Times New Roman" w:hAnsi="Times New Roman"/>
          <w:sz w:val="18"/>
          <w:szCs w:val="18"/>
          <w:color w:val="auto"/>
        </w:rPr>
        <w:t>GAAP income from operations for the quarter was $256.1 million, compared to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from operations of $10.6 million in the fourth quarter of fiscal year 2020. After adjusting for stock-based compensation expense and related payroll taxes, and acquisition-related expenses, non-GAAP income from operations for the fourth quarter was $360.9 million, up from $38.4 million in the fourth quarter of fiscal year 2020. For the fourth quarter, GAAP operating margin was 29.0% and non-GAAP operating margin was 40.9%.</w:t>
      </w:r>
    </w:p>
    <w:p>
      <w:pPr>
        <w:spacing w:after="0" w:line="71" w:lineRule="exact"/>
        <w:rPr>
          <w:rFonts w:ascii="Times New Roman" w:cs="Times New Roman" w:eastAsia="Times New Roman" w:hAnsi="Times New Roman"/>
          <w:sz w:val="18"/>
          <w:szCs w:val="18"/>
          <w:b w:val="1"/>
          <w:bCs w:val="1"/>
          <w:color w:val="auto"/>
        </w:rPr>
      </w:pPr>
    </w:p>
    <w:p>
      <w:pPr>
        <w:ind w:left="980" w:right="40" w:hanging="324"/>
        <w:spacing w:after="0" w:line="268" w:lineRule="auto"/>
        <w:tabs>
          <w:tab w:leader="none" w:pos="9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Income and Net Income Per Share: </w:t>
      </w:r>
      <w:r>
        <w:rPr>
          <w:rFonts w:ascii="Times New Roman" w:cs="Times New Roman" w:eastAsia="Times New Roman" w:hAnsi="Times New Roman"/>
          <w:sz w:val="18"/>
          <w:szCs w:val="18"/>
          <w:color w:val="auto"/>
        </w:rPr>
        <w:t>GAAP net income attributable to common stockholders for the quarter was $260.4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$0.87 per share, compared to GAAP net income attributable to common stockholders of $15.3 million, or $0.05 per share in the fourth quarter of fiscal year 2020.</w:t>
      </w:r>
    </w:p>
    <w:p>
      <w:pPr>
        <w:spacing w:after="0" w:line="66" w:lineRule="exact"/>
        <w:rPr>
          <w:rFonts w:ascii="Times New Roman" w:cs="Times New Roman" w:eastAsia="Times New Roman" w:hAnsi="Times New Roman"/>
          <w:sz w:val="18"/>
          <w:szCs w:val="18"/>
          <w:b w:val="1"/>
          <w:bCs w:val="1"/>
          <w:color w:val="auto"/>
        </w:rPr>
      </w:pPr>
    </w:p>
    <w:p>
      <w:pPr>
        <w:ind w:left="98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Non-GAAP net income for the quarter was $365.4 million, after adjusting for stock-based compensation expense and related payroll taxes, acquisition-related expenses, and undistributed earnings attributable to participating securities. Non-GAAP net income per share was $1.22. In the fourth quarter of fiscal year 2020, non-GAAP net income was $43.2 million, or $0.15 per share.</w:t>
      </w:r>
    </w:p>
    <w:p>
      <w:pPr>
        <w:spacing w:after="0" w:line="63" w:lineRule="exact"/>
        <w:rPr>
          <w:rFonts w:ascii="Times New Roman" w:cs="Times New Roman" w:eastAsia="Times New Roman" w:hAnsi="Times New Roman"/>
          <w:sz w:val="18"/>
          <w:szCs w:val="18"/>
          <w:b w:val="1"/>
          <w:bCs w:val="1"/>
          <w:color w:val="auto"/>
        </w:rPr>
      </w:pPr>
    </w:p>
    <w:p>
      <w:pPr>
        <w:ind w:left="980" w:right="180" w:hanging="324"/>
        <w:spacing w:after="0" w:line="286" w:lineRule="auto"/>
        <w:tabs>
          <w:tab w:leader="none" w:pos="9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and Marketable Securities: </w:t>
      </w:r>
      <w:r>
        <w:rPr>
          <w:rFonts w:ascii="Times New Roman" w:cs="Times New Roman" w:eastAsia="Times New Roman" w:hAnsi="Times New Roman"/>
          <w:sz w:val="18"/>
          <w:szCs w:val="18"/>
          <w:color w:val="auto"/>
        </w:rPr>
        <w:t>Total cash, cash equivalents, and marketable securities, excluding restricted cash, as of January 31,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$4,244.7 million.</w:t>
      </w:r>
    </w:p>
    <w:p>
      <w:pPr>
        <w:spacing w:after="0" w:line="46" w:lineRule="exact"/>
        <w:rPr>
          <w:rFonts w:ascii="Times New Roman" w:cs="Times New Roman" w:eastAsia="Times New Roman" w:hAnsi="Times New Roman"/>
          <w:sz w:val="18"/>
          <w:szCs w:val="18"/>
          <w:b w:val="1"/>
          <w:bCs w:val="1"/>
          <w:color w:val="auto"/>
        </w:rPr>
      </w:pPr>
    </w:p>
    <w:p>
      <w:pPr>
        <w:ind w:left="980" w:right="220" w:hanging="324"/>
        <w:spacing w:after="0" w:line="268" w:lineRule="auto"/>
        <w:tabs>
          <w:tab w:leader="none" w:pos="9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Net cash provided by operating activities was $399.4 million for the quarter, compared to $36.6 million in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2020. Free cash flow, which is net cash provided by operating activities less purchases of property and equipment, was $377.9 million, compared to $26.6 million in the fourth quarter of fiscal year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Fiscal Year 2021 Financial Highlights: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for the fiscal year was $2,651.4 million, up 326% year-over-year.</w:t>
      </w:r>
    </w:p>
    <w:p>
      <w:pPr>
        <w:spacing w:after="0" w:line="117" w:lineRule="exact"/>
        <w:rPr>
          <w:rFonts w:ascii="Times New Roman" w:cs="Times New Roman" w:eastAsia="Times New Roman" w:hAnsi="Times New Roman"/>
          <w:sz w:val="18"/>
          <w:szCs w:val="18"/>
          <w:b w:val="1"/>
          <w:bCs w:val="1"/>
          <w:color w:val="auto"/>
        </w:rPr>
      </w:pPr>
    </w:p>
    <w:p>
      <w:pPr>
        <w:jc w:val="both"/>
        <w:ind w:left="980" w:right="500" w:hanging="324"/>
        <w:spacing w:after="0" w:line="268" w:lineRule="auto"/>
        <w:tabs>
          <w:tab w:leader="none" w:pos="97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from Operations and Operating Margin: </w:t>
      </w:r>
      <w:r>
        <w:rPr>
          <w:rFonts w:ascii="Times New Roman" w:cs="Times New Roman" w:eastAsia="Times New Roman" w:hAnsi="Times New Roman"/>
          <w:sz w:val="18"/>
          <w:szCs w:val="18"/>
          <w:color w:val="auto"/>
        </w:rPr>
        <w:t>GAAP income from operations for the fiscal year was $659.8 million,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income from operations of $12.7 million for fiscal year 2020. After adjusting for stock-based compensation expense and related payroll taxes, expenses related to charitable donation of common</w:t>
      </w:r>
    </w:p>
    <w:p>
      <w:pPr>
        <w:sectPr>
          <w:pgSz w:w="11900" w:h="16838" w:orient="portrait"/>
          <w:cols w:equalWidth="0" w:num="1">
            <w:col w:w="11240"/>
          </w:cols>
          <w:pgMar w:left="320" w:top="891" w:right="339" w:bottom="1440" w:gutter="0" w:footer="0" w:header="0"/>
        </w:sectPr>
      </w:pPr>
    </w:p>
    <w:bookmarkStart w:id="4" w:name="page5"/>
    <w:bookmarkEnd w:id="4"/>
    <w:p>
      <w:pPr>
        <w:ind w:left="980" w:right="80"/>
        <w:spacing w:after="0" w:line="282" w:lineRule="auto"/>
        <w:rPr>
          <w:sz w:val="20"/>
          <w:szCs w:val="20"/>
          <w:color w:val="auto"/>
        </w:rPr>
      </w:pPr>
      <w:r>
        <w:rPr>
          <w:rFonts w:ascii="Times New Roman" w:cs="Times New Roman" w:eastAsia="Times New Roman" w:hAnsi="Times New Roman"/>
          <w:sz w:val="18"/>
          <w:szCs w:val="18"/>
          <w:color w:val="auto"/>
        </w:rPr>
        <w:t>stock, and acquisition-related expenses, non-GAAP income from operations for the fiscal year was $983.3 million, up from $88.7 million for fiscal year 2020. For the fiscal year, GAAP operating margin was 24.9% and non-GAAP operating margin was 37.1%.</w:t>
      </w:r>
    </w:p>
    <w:p>
      <w:pPr>
        <w:spacing w:after="0" w:line="50" w:lineRule="exact"/>
        <w:rPr>
          <w:sz w:val="20"/>
          <w:szCs w:val="20"/>
          <w:color w:val="auto"/>
        </w:rPr>
      </w:pPr>
    </w:p>
    <w:p>
      <w:pPr>
        <w:ind w:left="980" w:hanging="324"/>
        <w:spacing w:after="0" w:line="286"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Income and Net Income Per Share: </w:t>
      </w:r>
      <w:r>
        <w:rPr>
          <w:rFonts w:ascii="Times New Roman" w:cs="Times New Roman" w:eastAsia="Times New Roman" w:hAnsi="Times New Roman"/>
          <w:sz w:val="18"/>
          <w:szCs w:val="18"/>
          <w:color w:val="auto"/>
        </w:rPr>
        <w:t>GAAP net income attributable to common stockholders for the fiscal year was $671.5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$2.25 per share, compared to GAAP net income attributable to common stockholders of $21.7 million, or $0.09 per share for fiscal year 2020.</w:t>
      </w:r>
    </w:p>
    <w:p>
      <w:pPr>
        <w:spacing w:after="0" w:line="50"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Non-GAAP net income for the fiscal year was $995.7 million, after adjusting for stock-based compensation expense and related payroll taxes, expenses related to charitable donation of common stock, acquisition-related expenses, and undistributed earnings attributable to participating securities. Non-GAAP net income per share was $3.34. In fiscal year 2020, non-GAAP net income was $101.3 million, or $0.35 per share.</w:t>
      </w:r>
    </w:p>
    <w:p>
      <w:pPr>
        <w:spacing w:after="0" w:line="63" w:lineRule="exact"/>
        <w:rPr>
          <w:rFonts w:ascii="Times New Roman" w:cs="Times New Roman" w:eastAsia="Times New Roman" w:hAnsi="Times New Roman"/>
          <w:sz w:val="18"/>
          <w:szCs w:val="18"/>
          <w:b w:val="1"/>
          <w:bCs w:val="1"/>
          <w:color w:val="auto"/>
        </w:rPr>
      </w:pPr>
    </w:p>
    <w:p>
      <w:pPr>
        <w:jc w:val="both"/>
        <w:ind w:left="980" w:right="380" w:hanging="324"/>
        <w:spacing w:after="0" w:line="268"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Net cash provided by operating activities was $1,471.2 million for the fiscal year, compared to $151.9 million for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Free cash flow, which is net cash provided by operating activities less purchases of property and equipment, was $1,391.2 million, compared to $113.8 million for fiscal year 2020.</w:t>
      </w:r>
    </w:p>
    <w:p>
      <w:pPr>
        <w:spacing w:after="0" w:line="200" w:lineRule="exact"/>
        <w:rPr>
          <w:sz w:val="20"/>
          <w:szCs w:val="20"/>
          <w:color w:val="auto"/>
        </w:rPr>
      </w:pPr>
    </w:p>
    <w:p>
      <w:pPr>
        <w:spacing w:after="0" w:line="3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 Metrics: </w:t>
      </w:r>
      <w:r>
        <w:rPr>
          <w:rFonts w:ascii="Times New Roman" w:cs="Times New Roman" w:eastAsia="Times New Roman" w:hAnsi="Times New Roman"/>
          <w:sz w:val="18"/>
          <w:szCs w:val="18"/>
          <w:color w:val="auto"/>
        </w:rPr>
        <w:t>Drivers of total revenue included acquiring new customers and expanding across existing customers. At the end of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fiscal year 2021, Zoom had:</w:t>
      </w:r>
    </w:p>
    <w:p>
      <w:pPr>
        <w:spacing w:after="0" w:line="51"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Approximately 467,100 customers with more than 10 employees, up approximately 470% from the same quarter last fiscal year.</w:t>
      </w:r>
    </w:p>
    <w:p>
      <w:pPr>
        <w:spacing w:after="0" w:line="117"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1,644 customers contributing more than $100,000 in trailing 12 months (“TTM”) revenue, up approximately 156% from the same quarter last fiscal year.</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trailing 12-month net dollar expansion rate in customers with more than 10 employees above 130% for the 11th consecutive quarter.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Outlook: </w:t>
      </w:r>
      <w:r>
        <w:rPr>
          <w:rFonts w:ascii="Times New Roman" w:cs="Times New Roman" w:eastAsia="Times New Roman" w:hAnsi="Times New Roman"/>
          <w:sz w:val="18"/>
          <w:szCs w:val="18"/>
          <w:color w:val="auto"/>
        </w:rPr>
        <w:t>Zoom is providing the following guidance for its first quarter of fiscal year 2022 and its full fiscal year 2022.</w:t>
      </w:r>
    </w:p>
    <w:p>
      <w:pPr>
        <w:spacing w:after="0" w:line="121" w:lineRule="exact"/>
        <w:rPr>
          <w:sz w:val="20"/>
          <w:szCs w:val="20"/>
          <w:color w:val="auto"/>
        </w:rPr>
      </w:pPr>
    </w:p>
    <w:p>
      <w:pPr>
        <w:ind w:left="980" w:right="360" w:hanging="324"/>
        <w:spacing w:after="0" w:line="266" w:lineRule="auto"/>
        <w:tabs>
          <w:tab w:leader="none" w:pos="97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 Quarter Fiscal Year 2022: Total revenue is expected to be between $900.0 million and $905.0 million and non-GAAP income from operations is expected to be between $295.0 million and $300.0 million. Q1 non-GAAP diluted EPS is expected to be between $0.95 and $0.97 with approximately 307 million non-GAAP weighted average shares outstanding.</w:t>
      </w:r>
    </w:p>
    <w:p>
      <w:pPr>
        <w:spacing w:after="0" w:line="67" w:lineRule="exact"/>
        <w:rPr>
          <w:rFonts w:ascii="Times New Roman" w:cs="Times New Roman" w:eastAsia="Times New Roman" w:hAnsi="Times New Roman"/>
          <w:sz w:val="18"/>
          <w:szCs w:val="18"/>
          <w:b w:val="1"/>
          <w:bCs w:val="1"/>
          <w:color w:val="auto"/>
        </w:rPr>
      </w:pPr>
    </w:p>
    <w:p>
      <w:pPr>
        <w:ind w:left="980" w:right="120" w:hanging="324"/>
        <w:spacing w:after="0" w:line="266" w:lineRule="auto"/>
        <w:tabs>
          <w:tab w:leader="none" w:pos="97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Fiscal Year 2022: Total revenue is expected to be between $3.760 billion and $3.780 billion and non-GAAP income from operations is expected to be between $1.125 billion and $1.145 billion. Full fiscal year non-GAAP diluted EPS is expected to be between $3.59 and $3.65 with approximately 311 million non-GAAP weighted average shares outstanding.</w:t>
      </w:r>
    </w:p>
    <w:p>
      <w:pPr>
        <w:spacing w:after="0" w:line="31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supplemental financial presentation and other information can be accessed through Zoom’s investor relations website at investors.zoom.us.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 Video Earnings Call</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Zoom will host a Zoom Video Webinar for investors on March 1, 2021 at 2:00 p.m. Pacific Time / 5:00 p.m. Eastern Time to discuss the company’s financial results and business highlights. Investors are invited to join the Zoom Video Webinar by visiting: https://investors.zoom.us/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Zoom</w:t>
      </w:r>
    </w:p>
    <w:p>
      <w:pPr>
        <w:spacing w:after="0" w:line="31"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18"/>
          <w:szCs w:val="18"/>
          <w:color w:val="auto"/>
        </w:rPr>
        <w:t>Zoom Video Communications, Inc. (NASDAQ: ZM) brings teams together to get more done in a frictionless and secure video environment. Our easy, reliable, and innovative video-first unified communications platform provides video meetings, voice,</w:t>
      </w:r>
    </w:p>
    <w:p>
      <w:pPr>
        <w:sectPr>
          <w:pgSz w:w="11900" w:h="16838" w:orient="portrait"/>
          <w:cols w:equalWidth="0" w:num="1">
            <w:col w:w="11220"/>
          </w:cols>
          <w:pgMar w:left="320" w:top="999" w:right="359" w:bottom="1440" w:gutter="0" w:footer="0" w:header="0"/>
        </w:sectPr>
      </w:pPr>
    </w:p>
    <w:bookmarkStart w:id="5" w:name="page6"/>
    <w:bookmarkEnd w:id="5"/>
    <w:p>
      <w:pPr>
        <w:jc w:val="both"/>
        <w:spacing w:after="0" w:line="250" w:lineRule="auto"/>
        <w:rPr>
          <w:sz w:val="20"/>
          <w:szCs w:val="20"/>
          <w:color w:val="auto"/>
        </w:rPr>
      </w:pPr>
      <w:r>
        <w:rPr>
          <w:rFonts w:ascii="Times New Roman" w:cs="Times New Roman" w:eastAsia="Times New Roman" w:hAnsi="Times New Roman"/>
          <w:sz w:val="18"/>
          <w:szCs w:val="18"/>
          <w:color w:val="auto"/>
        </w:rPr>
        <w:t>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zoom.com and follow @zoom_us.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This press release contains express and implied “forward-looking statements” within the meaning of the Private Securities Litigation Reform Act of 1995, including statements regarding our financial outlook for the first quarter of fiscal year 2022 and full fiscal year 2022, Zoom’s growth strategy and business aspirations for its video-first unified communications platform, its market position, and the continued impact of COVID-19 on its business and operations.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once the impact of the COVID-19 pandemic tapers, particularly as a vaccine becomes widely available, and users return to work or school or are otherwise no longer subject to shelter-in-place mandates,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and failures in internet infrastructure or interference with broadband access which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quarter ended October 31, 2020 and filed as Exhibit 99.1 to our Current Report on Form 8-K filed the SEC on January 13, 2021.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comparable GAAP financial measures and should be read only in conjunction with Zoom’s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Non-GAAP Income From Operations and Non-GAAP Operating Margins. Zoom defines non-GAAP income from operations as income from operations excluding stock-based compensation expense and related payroll taxes, expenses related to charitable donation of common stock, and acquisition-related expenses.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8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Non-GAAP Net Income and Non-GAAP Net Income Per Share, Basic and Diluted. Zoom defines non-GAAP net income and non-GAAP net income per share, basic and diluted, as GAAP net income attributable to common stockholders and GAAP net</w:t>
      </w:r>
    </w:p>
    <w:p>
      <w:pPr>
        <w:sectPr>
          <w:pgSz w:w="11900" w:h="16838" w:orient="portrait"/>
          <w:cols w:equalWidth="0" w:num="1">
            <w:col w:w="11240"/>
          </w:cols>
          <w:pgMar w:left="320" w:top="891" w:right="339" w:bottom="1440" w:gutter="0" w:footer="0" w:header="0"/>
        </w:sectPr>
      </w:pPr>
    </w:p>
    <w:bookmarkStart w:id="6" w:name="page7"/>
    <w:bookmarkEnd w:id="6"/>
    <w:p>
      <w:pPr>
        <w:spacing w:after="0" w:line="256" w:lineRule="auto"/>
        <w:rPr>
          <w:sz w:val="20"/>
          <w:szCs w:val="20"/>
          <w:color w:val="auto"/>
        </w:rPr>
      </w:pPr>
      <w:r>
        <w:rPr>
          <w:rFonts w:ascii="Times New Roman" w:cs="Times New Roman" w:eastAsia="Times New Roman" w:hAnsi="Times New Roman"/>
          <w:sz w:val="18"/>
          <w:szCs w:val="18"/>
          <w:color w:val="auto"/>
        </w:rPr>
        <w:t>income per share attributable to common stockholders, basic and diluted, respectively, adjusted to exclude stock-based compensation expense and related payroll taxes, expenses related to charitable donation of common stock, acquisition-related expenses,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Metrics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Zoom defines a customer as a separate and distinct buying entity, which can be a single paid host or an organization of any size (including a distinct unit of an organization) that has multiple paid hosts.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We then calculate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Colleen Rodriguez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Public Relations Lead for Zoom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press@zoom.us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McCallum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 for Zoom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investors@zoom.us</w:t>
      </w:r>
    </w:p>
    <w:p>
      <w:pPr>
        <w:sectPr>
          <w:pgSz w:w="11900" w:h="16838" w:orient="portrait"/>
          <w:cols w:equalWidth="0" w:num="1">
            <w:col w:w="11240"/>
          </w:cols>
          <w:pgMar w:left="320" w:top="99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Borders>
              <w:bottom w:val="single" w:sz="8" w:color="auto"/>
            </w:tcBorders>
          </w:tcPr>
          <w:p>
            <w:pPr>
              <w:spacing w:after="0"/>
              <w:rPr>
                <w:sz w:val="16"/>
                <w:szCs w:val="16"/>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2,240,303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283,134</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2,004,410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572,060</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120,435</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44,885</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75,008</w:t>
            </w:r>
          </w:p>
        </w:tc>
      </w:tr>
      <w:tr>
        <w:trPr>
          <w:trHeight w:val="22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4,792,865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1,095,522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5,297,993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1,289,845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122,692</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858,284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209,542</w:t>
            </w:r>
          </w:p>
        </w:tc>
      </w:tr>
      <w:tr>
        <w:trPr>
          <w:trHeight w:val="22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333,830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455,902</w:t>
            </w:r>
          </w:p>
        </w:tc>
      </w:tr>
      <w:tr>
        <w:trPr>
          <w:trHeight w:val="250"/>
        </w:trPr>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3,187,168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832,705</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672,468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3,860,767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833,943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5,297,993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1,289,845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Note: The amount of unbilled accounts receivable included within accounts receivable, net on the consolidated balance sheets was $24.6 million and $12.5 million as of January 31, 2021 and 2020, respectively.</w:t>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6"/>
                <w:szCs w:val="16"/>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622,658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821,989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507,262</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67,079</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340,646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494,566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(benefit from)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Undistributed earnings attributable to participating securities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287,598,299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276,719,764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283,853,654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233,641,336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300,613,251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292,789,235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298,127,669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254,298,014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Three Months Ended January 31,</w:t>
            </w:r>
          </w:p>
        </w:tc>
        <w:tc>
          <w:tcPr>
            <w:tcW w:w="340" w:type="dxa"/>
            <w:vAlign w:val="bottom"/>
          </w:tcPr>
          <w:p>
            <w:pPr>
              <w:spacing w:after="0"/>
              <w:rPr>
                <w:sz w:val="17"/>
                <w:szCs w:val="17"/>
                <w:color w:val="auto"/>
              </w:rPr>
            </w:pPr>
          </w:p>
        </w:tc>
        <w:tc>
          <w:tcPr>
            <w:tcW w:w="2700" w:type="dxa"/>
            <w:vAlign w:val="bottom"/>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Year Ended January 31,</w:t>
            </w:r>
          </w:p>
        </w:tc>
        <w:tc>
          <w:tcPr>
            <w:tcW w:w="0" w:type="dxa"/>
            <w:vAlign w:val="bottom"/>
          </w:tcPr>
          <w:p>
            <w:pPr>
              <w:spacing w:after="0"/>
              <w:rPr>
                <w:sz w:val="1"/>
                <w:szCs w:val="1"/>
                <w:color w:val="auto"/>
              </w:rPr>
            </w:pPr>
          </w:p>
        </w:tc>
      </w:tr>
      <w:tr>
        <w:trPr>
          <w:trHeight w:val="200"/>
        </w:trPr>
        <w:tc>
          <w:tcPr>
            <w:tcW w:w="50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rPr>
                <w:sz w:val="1"/>
                <w:szCs w:val="1"/>
                <w:color w:val="auto"/>
              </w:rPr>
            </w:pPr>
          </w:p>
        </w:tc>
      </w:tr>
      <w:tr>
        <w:trPr>
          <w:trHeight w:val="18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260,610</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15,339</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672,316</w:t>
            </w:r>
          </w:p>
        </w:tc>
        <w:tc>
          <w:tcPr>
            <w:tcW w:w="12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25,305</w:t>
            </w:r>
          </w:p>
        </w:tc>
        <w:tc>
          <w:tcPr>
            <w:tcW w:w="0" w:type="dxa"/>
            <w:vAlign w:val="bottom"/>
          </w:tcPr>
          <w:p>
            <w:pPr>
              <w:spacing w:after="0"/>
              <w:rPr>
                <w:sz w:val="1"/>
                <w:szCs w:val="1"/>
                <w:color w:val="auto"/>
              </w:rPr>
            </w:pPr>
          </w:p>
        </w:tc>
      </w:tr>
      <w:tr>
        <w:trPr>
          <w:trHeight w:val="151"/>
        </w:trPr>
        <w:tc>
          <w:tcPr>
            <w:tcW w:w="50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 operating</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activities: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4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96,261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275,818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73,109</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deferred contract acquisition costs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33,025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104,306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37,101</w:t>
            </w:r>
          </w:p>
        </w:tc>
        <w:tc>
          <w:tcPr>
            <w:tcW w:w="0" w:type="dxa"/>
            <w:vAlign w:val="bottom"/>
          </w:tcPr>
          <w:p>
            <w:pPr>
              <w:spacing w:after="0"/>
              <w:rPr>
                <w:sz w:val="1"/>
                <w:szCs w:val="1"/>
                <w:color w:val="auto"/>
              </w:rPr>
            </w:pPr>
          </w:p>
        </w:tc>
      </w:tr>
      <w:tr>
        <w:trPr>
          <w:trHeight w:val="200"/>
        </w:trPr>
        <w:tc>
          <w:tcPr>
            <w:tcW w:w="50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Provision for accounts receivable allowances</w:t>
            </w:r>
          </w:p>
        </w:tc>
        <w:tc>
          <w:tcPr>
            <w:tcW w:w="24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11,789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6,370</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9,456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28,857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16,449</w:t>
            </w:r>
          </w:p>
        </w:tc>
        <w:tc>
          <w:tcPr>
            <w:tcW w:w="0" w:type="dxa"/>
            <w:vAlign w:val="bottom"/>
          </w:tcPr>
          <w:p>
            <w:pPr>
              <w:spacing w:after="0"/>
              <w:rPr>
                <w:sz w:val="1"/>
                <w:szCs w:val="1"/>
                <w:color w:val="auto"/>
              </w:rPr>
            </w:pPr>
          </w:p>
        </w:tc>
      </w:tr>
      <w:tr>
        <w:trPr>
          <w:trHeight w:val="200"/>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Charitable donation of common stock</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operating lease cost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6,885</w:t>
            </w:r>
          </w:p>
        </w:tc>
        <w:tc>
          <w:tcPr>
            <w:tcW w:w="0" w:type="dxa"/>
            <w:vAlign w:val="bottom"/>
          </w:tcPr>
          <w:p>
            <w:pPr>
              <w:spacing w:after="0"/>
              <w:rPr>
                <w:sz w:val="1"/>
                <w:szCs w:val="1"/>
                <w:color w:val="auto"/>
              </w:rPr>
            </w:pPr>
          </w:p>
        </w:tc>
      </w:tr>
      <w:tr>
        <w:trPr>
          <w:trHeight w:val="200"/>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(1,068)</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6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(219,039)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(64,715)</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(20,263)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(24,805)</w:t>
            </w:r>
          </w:p>
        </w:tc>
        <w:tc>
          <w:tcPr>
            <w:tcW w:w="0" w:type="dxa"/>
            <w:vAlign w:val="bottom"/>
          </w:tcPr>
          <w:p>
            <w:pPr>
              <w:spacing w:after="0"/>
              <w:rPr>
                <w:sz w:val="1"/>
                <w:szCs w:val="1"/>
                <w:color w:val="auto"/>
              </w:rPr>
            </w:pPr>
          </w:p>
        </w:tc>
      </w:tr>
      <w:tr>
        <w:trPr>
          <w:trHeight w:val="200"/>
        </w:trPr>
        <w:tc>
          <w:tcPr>
            <w:tcW w:w="506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Deferred contract acquisition costs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(307,068)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(72,714)</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(2,030)</w:t>
            </w:r>
          </w:p>
        </w:tc>
        <w:tc>
          <w:tcPr>
            <w:tcW w:w="0" w:type="dxa"/>
            <w:vAlign w:val="bottom"/>
          </w:tcPr>
          <w:p>
            <w:pPr>
              <w:spacing w:after="0"/>
              <w:rPr>
                <w:sz w:val="1"/>
                <w:szCs w:val="1"/>
                <w:color w:val="auto"/>
              </w:rPr>
            </w:pPr>
          </w:p>
        </w:tc>
      </w:tr>
      <w:tr>
        <w:trPr>
          <w:trHeight w:val="200"/>
        </w:trPr>
        <w:tc>
          <w:tcPr>
            <w:tcW w:w="506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4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47,735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251,654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51,179</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Deferred revenue</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32,124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665,724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106,286</w:t>
            </w:r>
          </w:p>
        </w:tc>
        <w:tc>
          <w:tcPr>
            <w:tcW w:w="0" w:type="dxa"/>
            <w:vAlign w:val="bottom"/>
          </w:tcPr>
          <w:p>
            <w:pPr>
              <w:spacing w:after="0"/>
              <w:rPr>
                <w:sz w:val="1"/>
                <w:szCs w:val="1"/>
                <w:color w:val="auto"/>
              </w:rPr>
            </w:pPr>
          </w:p>
        </w:tc>
      </w:tr>
      <w:tr>
        <w:trPr>
          <w:trHeight w:val="200"/>
        </w:trPr>
        <w:tc>
          <w:tcPr>
            <w:tcW w:w="5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Operating lease liabilities, net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(6,379)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(5,460)</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399,396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1,471,177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151,892</w:t>
            </w:r>
          </w:p>
        </w:tc>
        <w:tc>
          <w:tcPr>
            <w:tcW w:w="0" w:type="dxa"/>
            <w:vAlign w:val="bottom"/>
          </w:tcPr>
          <w:p>
            <w:pPr>
              <w:spacing w:after="0"/>
              <w:rPr>
                <w:sz w:val="1"/>
                <w:szCs w:val="1"/>
                <w:color w:val="auto"/>
              </w:rPr>
            </w:pPr>
          </w:p>
        </w:tc>
      </w:tr>
      <w:tr>
        <w:trPr>
          <w:trHeight w:val="20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(1,040,361)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(171,121)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(2,056,470)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(800,228)</w:t>
            </w:r>
          </w:p>
        </w:tc>
        <w:tc>
          <w:tcPr>
            <w:tcW w:w="0" w:type="dxa"/>
            <w:vAlign w:val="bottom"/>
          </w:tcPr>
          <w:p>
            <w:pPr>
              <w:spacing w:after="0"/>
              <w:rPr>
                <w:sz w:val="1"/>
                <w:szCs w:val="1"/>
                <w:color w:val="auto"/>
              </w:rPr>
            </w:pPr>
          </w:p>
        </w:tc>
      </w:tr>
      <w:tr>
        <w:trPr>
          <w:trHeight w:val="200"/>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Maturities of marketable securities</w:t>
            </w:r>
          </w:p>
        </w:tc>
        <w:tc>
          <w:tcPr>
            <w:tcW w:w="24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174,188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179,414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580,795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343,554</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Sales of marketable securities</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(38,084)</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for acquisition, net of cash acquired</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(26,486)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 of equity investment</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r>
        <w:trPr>
          <w:trHeight w:val="200"/>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 of convertible promissory note</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(1,569)</w:t>
            </w:r>
          </w:p>
        </w:tc>
        <w:tc>
          <w:tcPr>
            <w:tcW w:w="0" w:type="dxa"/>
            <w:vAlign w:val="bottom"/>
          </w:tcPr>
          <w:p>
            <w:pPr>
              <w:spacing w:after="0"/>
              <w:rPr>
                <w:sz w:val="1"/>
                <w:szCs w:val="1"/>
                <w:color w:val="auto"/>
              </w:rPr>
            </w:pPr>
          </w:p>
        </w:tc>
      </w:tr>
      <w:tr>
        <w:trPr>
          <w:trHeight w:val="194"/>
        </w:trPr>
        <w:tc>
          <w:tcPr>
            <w:tcW w:w="506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(889,043)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(1,562,420)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(499,468)</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6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Proceeds from follow-on offering, net of underwriting discounts and</w:t>
            </w:r>
          </w:p>
        </w:tc>
        <w:tc>
          <w:tcPr>
            <w:tcW w:w="240" w:type="dxa"/>
            <w:vAlign w:val="bottom"/>
          </w:tcPr>
          <w:p>
            <w:pPr>
              <w:spacing w:after="0"/>
              <w:rPr>
                <w:sz w:val="12"/>
                <w:szCs w:val="12"/>
                <w:color w:val="auto"/>
              </w:rPr>
            </w:pPr>
          </w:p>
        </w:tc>
        <w:tc>
          <w:tcPr>
            <w:tcW w:w="122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1,979,206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1,979,206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commissions and other offering costs</w:t>
            </w:r>
          </w:p>
        </w:tc>
        <w:tc>
          <w:tcPr>
            <w:tcW w:w="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issuance of common stock for employee stock purchase plan</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17,673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38,433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15,482</w:t>
            </w:r>
          </w:p>
        </w:tc>
        <w:tc>
          <w:tcPr>
            <w:tcW w:w="0" w:type="dxa"/>
            <w:vAlign w:val="bottom"/>
          </w:tcPr>
          <w:p>
            <w:pPr>
              <w:spacing w:after="0"/>
              <w:rPr>
                <w:sz w:val="1"/>
                <w:szCs w:val="1"/>
                <w:color w:val="auto"/>
              </w:rPr>
            </w:pPr>
          </w:p>
        </w:tc>
      </w:tr>
      <w:tr>
        <w:trPr>
          <w:trHeight w:val="200"/>
        </w:trPr>
        <w:tc>
          <w:tcPr>
            <w:tcW w:w="50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Proceeds from exercise of stock options, net of repurchases</w:t>
            </w:r>
          </w:p>
        </w:tc>
        <w:tc>
          <w:tcPr>
            <w:tcW w:w="24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9,169</w:t>
            </w:r>
          </w:p>
        </w:tc>
        <w:tc>
          <w:tcPr>
            <w:tcW w:w="0" w:type="dxa"/>
            <w:vAlign w:val="bottom"/>
          </w:tcPr>
          <w:p>
            <w:pPr>
              <w:spacing w:after="0"/>
              <w:rPr>
                <w:sz w:val="1"/>
                <w:szCs w:val="1"/>
                <w:color w:val="auto"/>
              </w:rPr>
            </w:pPr>
          </w:p>
        </w:tc>
      </w:tr>
      <w:tr>
        <w:trPr>
          <w:trHeight w:val="151"/>
        </w:trPr>
        <w:tc>
          <w:tcPr>
            <w:tcW w:w="5060" w:type="dxa"/>
            <w:vAlign w:val="bottom"/>
            <w:shd w:val="clear" w:color="auto" w:fill="CCEEFF"/>
          </w:tcPr>
          <w:p>
            <w:pPr>
              <w:ind w:left="240"/>
              <w:spacing w:after="0" w:line="151" w:lineRule="exact"/>
              <w:rPr>
                <w:sz w:val="20"/>
                <w:szCs w:val="20"/>
                <w:color w:val="auto"/>
              </w:rPr>
            </w:pPr>
            <w:r>
              <w:rPr>
                <w:rFonts w:ascii="Times New Roman" w:cs="Times New Roman" w:eastAsia="Times New Roman" w:hAnsi="Times New Roman"/>
                <w:sz w:val="15"/>
                <w:szCs w:val="15"/>
                <w:color w:val="auto"/>
              </w:rPr>
              <w:t>Proceeds from employee equity transactions to be remitted to employees</w:t>
            </w:r>
          </w:p>
        </w:tc>
        <w:tc>
          <w:tcPr>
            <w:tcW w:w="2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(247,553)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4,088</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48,547</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and tax authorities, net</w:t>
            </w:r>
          </w:p>
        </w:tc>
        <w:tc>
          <w:tcPr>
            <w:tcW w:w="2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60" w:type="dxa"/>
            <w:vAlign w:val="bottom"/>
          </w:tcPr>
          <w:p>
            <w:pPr>
              <w:ind w:left="240"/>
              <w:spacing w:after="0" w:line="149" w:lineRule="exact"/>
              <w:rPr>
                <w:sz w:val="20"/>
                <w:szCs w:val="20"/>
                <w:color w:val="auto"/>
              </w:rPr>
            </w:pPr>
            <w:r>
              <w:rPr>
                <w:rFonts w:ascii="Times New Roman" w:cs="Times New Roman" w:eastAsia="Times New Roman" w:hAnsi="Times New Roman"/>
                <w:sz w:val="15"/>
                <w:szCs w:val="15"/>
                <w:color w:val="auto"/>
              </w:rPr>
              <w:t>Proceeds from initial public offering and private placement, net of</w:t>
            </w:r>
          </w:p>
        </w:tc>
        <w:tc>
          <w:tcPr>
            <w:tcW w:w="240" w:type="dxa"/>
            <w:vAlign w:val="bottom"/>
          </w:tcPr>
          <w:p>
            <w:pPr>
              <w:spacing w:after="0"/>
              <w:rPr>
                <w:sz w:val="12"/>
                <w:szCs w:val="12"/>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2"/>
                <w:szCs w:val="12"/>
                <w:color w:val="auto"/>
              </w:rPr>
            </w:pPr>
          </w:p>
        </w:tc>
        <w:tc>
          <w:tcPr>
            <w:tcW w:w="112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542,492</w:t>
            </w:r>
          </w:p>
        </w:tc>
        <w:tc>
          <w:tcPr>
            <w:tcW w:w="0" w:type="dxa"/>
            <w:vAlign w:val="bottom"/>
          </w:tcPr>
          <w:p>
            <w:pPr>
              <w:spacing w:after="0"/>
              <w:rPr>
                <w:sz w:val="1"/>
                <w:szCs w:val="1"/>
                <w:color w:val="auto"/>
              </w:rPr>
            </w:pPr>
          </w:p>
        </w:tc>
      </w:tr>
      <w:tr>
        <w:trPr>
          <w:trHeight w:val="200"/>
        </w:trPr>
        <w:tc>
          <w:tcPr>
            <w:tcW w:w="50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underwriting discounts and commissions and other offering costs</w:t>
            </w:r>
          </w:p>
        </w:tc>
        <w:tc>
          <w:tcPr>
            <w:tcW w:w="2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6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1,754,035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2,050,277</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615,690</w:t>
            </w:r>
          </w:p>
        </w:tc>
        <w:tc>
          <w:tcPr>
            <w:tcW w:w="0" w:type="dxa"/>
            <w:vAlign w:val="bottom"/>
          </w:tcPr>
          <w:p>
            <w:pPr>
              <w:spacing w:after="0"/>
              <w:rPr>
                <w:sz w:val="1"/>
                <w:szCs w:val="1"/>
                <w:color w:val="auto"/>
              </w:rPr>
            </w:pPr>
          </w:p>
        </w:tc>
      </w:tr>
      <w:tr>
        <w:trPr>
          <w:trHeight w:val="194"/>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in cash, cash equivalents, and restricted cash</w:t>
            </w:r>
          </w:p>
        </w:tc>
        <w:tc>
          <w:tcPr>
            <w:tcW w:w="24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1,264,388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1,959,034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268,114</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cash—beginning of year</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1,028,728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281,830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334,082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65,968</w:t>
            </w: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cash—end of year</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2,293,116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334,082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2,293,116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334,082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509"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60" w:type="dxa"/>
            <w:vAlign w:val="bottom"/>
          </w:tcPr>
          <w:p>
            <w:pPr>
              <w:spacing w:after="0"/>
              <w:rPr>
                <w:sz w:val="16"/>
                <w:szCs w:val="16"/>
                <w:color w:val="auto"/>
              </w:rPr>
            </w:pPr>
          </w:p>
        </w:tc>
        <w:tc>
          <w:tcPr>
            <w:tcW w:w="266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75,971</w:t>
            </w: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Charitable donation of common stock</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360,908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88,667</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 attributable to common stockholders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260,393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Charitable donation of common stock</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Undistributed earnings attributable to participating securities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101,276</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 and diluted: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GAAP net income per share -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GAAP net income per share - 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Non-GAAP net income per share - 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GAAP weighted-average shares used to compute net income per share</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287,598,299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276,719,764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283,853,654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233,641,336</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basic</w:t>
            </w: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Non-GAAP unweighted adjustment for common stock issued in</w:t>
            </w:r>
          </w:p>
        </w:tc>
        <w:tc>
          <w:tcPr>
            <w:tcW w:w="2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37,484,508</w:t>
            </w: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connection with IPO</w:t>
            </w:r>
          </w:p>
        </w:tc>
        <w:tc>
          <w:tcPr>
            <w:tcW w:w="2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Non-GAAP weighted-average shares used to compute net income per</w:t>
            </w:r>
          </w:p>
        </w:tc>
        <w:tc>
          <w:tcPr>
            <w:tcW w:w="2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287,598,299</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276,719,764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283,853,654</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271,125,844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 - basic</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GAAP weighted-average shares used to compute net income per share</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300,613,251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292,789,235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298,127,669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254,298,014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diluted</w:t>
            </w:r>
          </w:p>
        </w:tc>
        <w:tc>
          <w:tcPr>
            <w:tcW w:w="2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Non-GAAP unweighted adjustment for common stock issued in</w:t>
            </w:r>
          </w:p>
        </w:tc>
        <w:tc>
          <w:tcPr>
            <w:tcW w:w="2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37,484,508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connection with IPO</w:t>
            </w:r>
          </w:p>
        </w:tc>
        <w:tc>
          <w:tcPr>
            <w:tcW w:w="2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Non-GAAP weighted-average shares used to compute net income per</w:t>
            </w: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300,613,251</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292,789,235</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298,127,669</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291,782,522</w:t>
            </w:r>
          </w:p>
        </w:tc>
        <w:tc>
          <w:tcPr>
            <w:tcW w:w="0" w:type="dxa"/>
            <w:vAlign w:val="bottom"/>
          </w:tcPr>
          <w:p>
            <w:pPr>
              <w:spacing w:after="0"/>
              <w:rPr>
                <w:sz w:val="1"/>
                <w:szCs w:val="1"/>
                <w:color w:val="auto"/>
              </w:rPr>
            </w:pPr>
          </w:p>
        </w:tc>
      </w:tr>
      <w:tr>
        <w:trPr>
          <w:trHeight w:val="203"/>
        </w:trPr>
        <w:tc>
          <w:tcPr>
            <w:tcW w:w="5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 - diluted</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151,892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(889,043)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(1,562,420)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(499,468)</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615,690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2021-03-01T15:34:45Z</dcterms:created>
  <dcterms:modified xsi:type="dcterms:W3CDTF">2021-03-01T15:34:45Z</dcterms:modified>
</cp:coreProperties>
</file>