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18654.xml.htm"/>
      <w:bookmarkStart w:id="1" w:name="kswkform4_17837186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Eric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24"/>
        <w:gridCol w:w="446"/>
        <w:gridCol w:w="751"/>
        <w:gridCol w:w="1150"/>
        <w:gridCol w:w="98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68,455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68,455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34,831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85.68</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33,624</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46,822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80,446</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w:t>
            </w:r>
            <w:r>
              <w:rPr/>
              <w:t xml:space="preserve"> </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56,622</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28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1221"/>
        <w:gridCol w:w="801"/>
        <w:gridCol w:w="1071"/>
        <w:gridCol w:w="831"/>
        <w:gridCol w:w="90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514,766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20,740,485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20,740,485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Zheng Yuan and Hongyu Zhang, cotrustees of the the 2018 Yuan and Zhang Revocable Trust, for which the Reporting Person and the Reporting Person's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Issuer to satisfy the tax withholding obligation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an award of restricted stock units on July 8, 2022, which will vest in equal quarterly installments over four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award of restricted stock units on July 11, 2023 which will vest in equal quarterly installments over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award of restricted stock units on April 9, 2026, which will vest in equal quarterly installments over four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Aparna Bawa,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29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5133</Characters>
  <CharactersWithSpaces>6004</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